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27CE" w14:textId="6BFDCDD9" w:rsidR="009E6C25" w:rsidRPr="00CA463E" w:rsidRDefault="00201C0F" w:rsidP="00553D45">
      <w:pPr>
        <w:spacing w:after="120" w:line="240" w:lineRule="auto"/>
        <w:jc w:val="center"/>
        <w:rPr>
          <w:rFonts w:ascii="Aptos" w:hAnsi="Aptos"/>
          <w:b/>
          <w:color w:val="010E85"/>
          <w:sz w:val="48"/>
          <w:szCs w:val="48"/>
          <w:lang w:val="en-US"/>
        </w:rPr>
      </w:pPr>
      <w:r>
        <w:rPr>
          <w:rFonts w:ascii="Aptos" w:hAnsi="Aptos"/>
          <w:b/>
          <w:bCs/>
          <w:color w:val="010E85"/>
          <w:sz w:val="44"/>
          <w:szCs w:val="44"/>
          <w:lang w:val="en-US"/>
        </w:rPr>
        <w:t xml:space="preserve">Digital </w:t>
      </w:r>
      <w:r w:rsidR="00567EC1">
        <w:rPr>
          <w:rFonts w:ascii="Aptos" w:hAnsi="Aptos"/>
          <w:b/>
          <w:bCs/>
          <w:color w:val="010E85"/>
          <w:sz w:val="44"/>
          <w:szCs w:val="44"/>
          <w:lang w:val="en-US"/>
        </w:rPr>
        <w:t xml:space="preserve">&amp; AI Omnibus </w:t>
      </w:r>
      <w:r w:rsidR="00553D45">
        <w:rPr>
          <w:rFonts w:ascii="Aptos" w:hAnsi="Aptos"/>
          <w:b/>
          <w:bCs/>
          <w:color w:val="010E85"/>
          <w:sz w:val="44"/>
          <w:szCs w:val="44"/>
          <w:lang w:val="en-US"/>
        </w:rPr>
        <w:t xml:space="preserve">Proposal </w:t>
      </w:r>
    </w:p>
    <w:p w14:paraId="5B46DB0F" w14:textId="73B3F2B7" w:rsidR="009E6C25" w:rsidRPr="00CA463E" w:rsidRDefault="009E6C25" w:rsidP="00742BC3">
      <w:pPr>
        <w:spacing w:after="120" w:line="360" w:lineRule="auto"/>
        <w:jc w:val="both"/>
        <w:rPr>
          <w:rFonts w:ascii="Aptos" w:hAnsi="Aptos"/>
          <w:b/>
          <w:color w:val="010E85"/>
          <w:sz w:val="8"/>
          <w:szCs w:val="8"/>
          <w:lang w:val="en-US"/>
        </w:rPr>
      </w:pPr>
      <w:r w:rsidRPr="00CA463E">
        <w:rPr>
          <w:rFonts w:ascii="Aptos" w:hAnsi="Aptos"/>
          <w:noProof/>
          <w:lang w:val="en-US"/>
        </w:rPr>
        <mc:AlternateContent>
          <mc:Choice Requires="wps">
            <w:drawing>
              <wp:anchor distT="0" distB="0" distL="114300" distR="114300" simplePos="0" relativeHeight="251658240" behindDoc="0" locked="0" layoutInCell="1" allowOverlap="1" wp14:anchorId="3CEE32C9" wp14:editId="094A8262">
                <wp:simplePos x="0" y="0"/>
                <wp:positionH relativeFrom="column">
                  <wp:posOffset>-26670</wp:posOffset>
                </wp:positionH>
                <wp:positionV relativeFrom="paragraph">
                  <wp:posOffset>15240</wp:posOffset>
                </wp:positionV>
                <wp:extent cx="6065520" cy="11430"/>
                <wp:effectExtent l="19050" t="19050" r="30480" b="26670"/>
                <wp:wrapNone/>
                <wp:docPr id="20" name="Connecteur droit 20"/>
                <wp:cNvGraphicFramePr/>
                <a:graphic xmlns:a="http://schemas.openxmlformats.org/drawingml/2006/main">
                  <a:graphicData uri="http://schemas.microsoft.com/office/word/2010/wordprocessingShape">
                    <wps:wsp>
                      <wps:cNvCnPr/>
                      <wps:spPr>
                        <a:xfrm flipV="1">
                          <a:off x="0" y="0"/>
                          <a:ext cx="6065520" cy="11430"/>
                        </a:xfrm>
                        <a:prstGeom prst="line">
                          <a:avLst/>
                        </a:prstGeom>
                        <a:ln w="38100">
                          <a:solidFill>
                            <a:srgbClr val="0018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F6E8A" id="Connecteur droit 2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2pt" to="47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" strokecolor="#0018a8" strokeweight="3pt"/>
            </w:pict>
          </mc:Fallback>
        </mc:AlternateContent>
      </w:r>
    </w:p>
    <w:p w14:paraId="0BE8B3CE" w14:textId="77777777" w:rsidR="00B05A41" w:rsidRPr="00CA463E" w:rsidRDefault="00B05A41" w:rsidP="00742BC3">
      <w:pPr>
        <w:jc w:val="both"/>
        <w:rPr>
          <w:rFonts w:ascii="Aptos" w:hAnsi="Aptos"/>
          <w:b/>
          <w:color w:val="010E85"/>
          <w:sz w:val="8"/>
          <w:szCs w:val="8"/>
          <w:lang w:val="en-US"/>
        </w:rPr>
      </w:pPr>
    </w:p>
    <w:p w14:paraId="77345734" w14:textId="70C59765" w:rsidR="00DF1CB1" w:rsidRDefault="00DF1CB1" w:rsidP="00742BC3">
      <w:pPr>
        <w:jc w:val="both"/>
        <w:rPr>
          <w:rFonts w:ascii="Aptos" w:hAnsi="Aptos"/>
          <w:b/>
          <w:bCs/>
          <w:color w:val="00B0F0"/>
          <w:sz w:val="28"/>
          <w:szCs w:val="28"/>
        </w:rPr>
      </w:pPr>
      <w:r w:rsidRPr="00DF1CB1">
        <w:rPr>
          <w:rFonts w:ascii="Aptos" w:hAnsi="Aptos"/>
          <w:b/>
          <w:bCs/>
          <w:color w:val="00B0F0"/>
          <w:sz w:val="28"/>
          <w:szCs w:val="28"/>
        </w:rPr>
        <w:t xml:space="preserve">Executive summary </w:t>
      </w:r>
    </w:p>
    <w:p w14:paraId="0A5E923B" w14:textId="5A4CE476" w:rsidR="00AE6656" w:rsidRDefault="006B51A0" w:rsidP="00742BC3">
      <w:pPr>
        <w:jc w:val="both"/>
        <w:rPr>
          <w:rFonts w:ascii="Aptos" w:hAnsi="Aptos"/>
        </w:rPr>
      </w:pPr>
      <w:r>
        <w:rPr>
          <w:rFonts w:ascii="Aptos" w:hAnsi="Aptos"/>
        </w:rPr>
        <w:t xml:space="preserve">The </w:t>
      </w:r>
      <w:r w:rsidR="00AE6656" w:rsidRPr="00AE6656">
        <w:rPr>
          <w:rFonts w:ascii="Aptos" w:hAnsi="Aptos"/>
        </w:rPr>
        <w:t>EU faces an existential competitiveness crisis without swift</w:t>
      </w:r>
      <w:r>
        <w:rPr>
          <w:rFonts w:ascii="Aptos" w:hAnsi="Aptos"/>
        </w:rPr>
        <w:t xml:space="preserve"> or</w:t>
      </w:r>
      <w:r w:rsidR="00AE6656" w:rsidRPr="00AE6656">
        <w:rPr>
          <w:rFonts w:ascii="Aptos" w:hAnsi="Aptos"/>
        </w:rPr>
        <w:t xml:space="preserve"> structural reforms. To reverse this trend, a new regulatory approach is needed. The aim should be for EU regulations to support digital innovation</w:t>
      </w:r>
      <w:r>
        <w:rPr>
          <w:rFonts w:ascii="Aptos" w:hAnsi="Aptos"/>
        </w:rPr>
        <w:t>, economic growth and competitiveness</w:t>
      </w:r>
      <w:r w:rsidR="00AE6656" w:rsidRPr="00AE6656">
        <w:rPr>
          <w:rFonts w:ascii="Aptos" w:hAnsi="Aptos"/>
        </w:rPr>
        <w:t>, rather than focusing solely on restricting how data can be used</w:t>
      </w:r>
      <w:r>
        <w:rPr>
          <w:rFonts w:ascii="Aptos" w:hAnsi="Aptos"/>
        </w:rPr>
        <w:t>, thereby slowing innovation and economic growth, further impacting the ability of European companies to compete (globally)</w:t>
      </w:r>
      <w:r w:rsidR="00AE6656" w:rsidRPr="00AE6656">
        <w:rPr>
          <w:rFonts w:ascii="Aptos" w:hAnsi="Aptos"/>
        </w:rPr>
        <w:t>.</w:t>
      </w:r>
      <w:r>
        <w:rPr>
          <w:rFonts w:ascii="Aptos" w:hAnsi="Aptos"/>
        </w:rPr>
        <w:t xml:space="preserve"> The EU should focus on maintaining strong levels of data protection and stimulating EU economic growth.  </w:t>
      </w:r>
    </w:p>
    <w:p w14:paraId="4B5569B8" w14:textId="19B2106E" w:rsidR="00E55962" w:rsidRDefault="00E55962" w:rsidP="00E55962">
      <w:pPr>
        <w:rPr>
          <w:rFonts w:ascii="Aptos" w:hAnsi="Aptos"/>
        </w:rPr>
      </w:pPr>
      <w:r w:rsidRPr="00E55962">
        <w:rPr>
          <w:rFonts w:ascii="Aptos" w:hAnsi="Aptos"/>
        </w:rPr>
        <w:t>Although FEDMA welcome</w:t>
      </w:r>
      <w:r w:rsidR="00F2408C">
        <w:rPr>
          <w:rFonts w:ascii="Aptos" w:hAnsi="Aptos"/>
        </w:rPr>
        <w:t>s</w:t>
      </w:r>
      <w:r w:rsidRPr="00E55962">
        <w:rPr>
          <w:rFonts w:ascii="Aptos" w:hAnsi="Aptos"/>
        </w:rPr>
        <w:t xml:space="preserve"> the omnibus initiative as a first step, at an overarching level, there are </w:t>
      </w:r>
      <w:commentRangeStart w:id="0"/>
      <w:r w:rsidRPr="00E55962">
        <w:rPr>
          <w:rFonts w:ascii="Aptos" w:hAnsi="Aptos"/>
        </w:rPr>
        <w:t xml:space="preserve">weaknesses </w:t>
      </w:r>
      <w:commentRangeEnd w:id="0"/>
      <w:r w:rsidR="00F2408C">
        <w:rPr>
          <w:rStyle w:val="CommentReference"/>
        </w:rPr>
        <w:commentReference w:id="0"/>
      </w:r>
      <w:r w:rsidRPr="00E55962">
        <w:rPr>
          <w:rFonts w:ascii="Aptos" w:hAnsi="Aptos"/>
        </w:rPr>
        <w:t xml:space="preserve">in how the Commission has so far approached the simplification effort. Genuine regulatory simplification should not primarily be about easing the burden on companies’ compliance departments but </w:t>
      </w:r>
      <w:r w:rsidR="00F2408C">
        <w:rPr>
          <w:rFonts w:ascii="Aptos" w:hAnsi="Aptos"/>
        </w:rPr>
        <w:t xml:space="preserve">also </w:t>
      </w:r>
      <w:r w:rsidRPr="00E55962">
        <w:rPr>
          <w:rFonts w:ascii="Aptos" w:hAnsi="Aptos"/>
        </w:rPr>
        <w:t>be intended to meaningfully improve the conditions for enhanced competitiveness and increased growth related to digital legislation. As for this, FEDMA is presenting further suggestions</w:t>
      </w:r>
      <w:r w:rsidR="00293C14">
        <w:rPr>
          <w:rFonts w:ascii="Aptos" w:hAnsi="Aptos"/>
        </w:rPr>
        <w:t xml:space="preserve"> such as concrete amendments</w:t>
      </w:r>
      <w:r>
        <w:rPr>
          <w:rFonts w:ascii="Aptos" w:hAnsi="Aptos"/>
        </w:rPr>
        <w:t xml:space="preserve">. </w:t>
      </w:r>
    </w:p>
    <w:p w14:paraId="2156D095" w14:textId="52E56DB7" w:rsidR="00C75F96" w:rsidRDefault="00E55962" w:rsidP="00E55962">
      <w:pPr>
        <w:rPr>
          <w:rFonts w:ascii="Aptos" w:hAnsi="Aptos"/>
        </w:rPr>
      </w:pPr>
      <w:r>
        <w:rPr>
          <w:rFonts w:ascii="Aptos" w:hAnsi="Aptos"/>
        </w:rPr>
        <w:t xml:space="preserve">With this said </w:t>
      </w:r>
      <w:r w:rsidR="00A119BE">
        <w:rPr>
          <w:rFonts w:ascii="Aptos" w:hAnsi="Aptos"/>
        </w:rPr>
        <w:t>FEDMA</w:t>
      </w:r>
      <w:r w:rsidR="0000557B" w:rsidRPr="00CA463E">
        <w:rPr>
          <w:rFonts w:ascii="Aptos" w:hAnsi="Aptos"/>
        </w:rPr>
        <w:t xml:space="preserve"> welcome</w:t>
      </w:r>
      <w:r w:rsidR="00A119BE">
        <w:rPr>
          <w:rFonts w:ascii="Aptos" w:hAnsi="Aptos"/>
        </w:rPr>
        <w:t>s</w:t>
      </w:r>
      <w:r w:rsidR="0000557B" w:rsidRPr="00CA463E">
        <w:rPr>
          <w:rFonts w:ascii="Aptos" w:hAnsi="Aptos"/>
        </w:rPr>
        <w:t xml:space="preserve"> the European Commission’s </w:t>
      </w:r>
      <w:r w:rsidR="003A5195" w:rsidRPr="00CA463E">
        <w:rPr>
          <w:rFonts w:ascii="Aptos" w:hAnsi="Aptos"/>
        </w:rPr>
        <w:t xml:space="preserve">efforts </w:t>
      </w:r>
      <w:r w:rsidR="003A5195">
        <w:rPr>
          <w:rFonts w:ascii="Aptos" w:hAnsi="Aptos"/>
        </w:rPr>
        <w:t>to</w:t>
      </w:r>
      <w:r w:rsidR="008041F6">
        <w:rPr>
          <w:rFonts w:ascii="Aptos" w:hAnsi="Aptos"/>
        </w:rPr>
        <w:t xml:space="preserve"> simplify the digital acquis</w:t>
      </w:r>
      <w:r w:rsidR="00C75F96">
        <w:rPr>
          <w:rFonts w:ascii="Aptos" w:hAnsi="Aptos"/>
        </w:rPr>
        <w:t xml:space="preserve"> and the AI Act</w:t>
      </w:r>
      <w:r w:rsidR="00BE0A38">
        <w:rPr>
          <w:rFonts w:ascii="Aptos" w:hAnsi="Aptos"/>
        </w:rPr>
        <w:t>, particularly for SMEs and small mid-cap companies</w:t>
      </w:r>
      <w:r w:rsidR="003A5195">
        <w:rPr>
          <w:rFonts w:ascii="Aptos" w:hAnsi="Aptos"/>
        </w:rPr>
        <w:t xml:space="preserve">. </w:t>
      </w:r>
      <w:r w:rsidR="00341D55">
        <w:rPr>
          <w:rFonts w:ascii="Aptos" w:hAnsi="Aptos"/>
        </w:rPr>
        <w:t>The omnibus</w:t>
      </w:r>
      <w:r w:rsidR="004E0511">
        <w:rPr>
          <w:rFonts w:ascii="Aptos" w:hAnsi="Aptos"/>
        </w:rPr>
        <w:t>’</w:t>
      </w:r>
      <w:r w:rsidR="00341D55">
        <w:rPr>
          <w:rFonts w:ascii="Aptos" w:hAnsi="Aptos"/>
        </w:rPr>
        <w:t xml:space="preserve"> objective to </w:t>
      </w:r>
      <w:r w:rsidR="003411E3">
        <w:rPr>
          <w:rFonts w:ascii="Aptos" w:hAnsi="Aptos"/>
        </w:rPr>
        <w:t>simplif</w:t>
      </w:r>
      <w:r w:rsidR="00703377">
        <w:rPr>
          <w:rFonts w:ascii="Aptos" w:hAnsi="Aptos"/>
        </w:rPr>
        <w:t>y legislation</w:t>
      </w:r>
      <w:r w:rsidR="003411E3">
        <w:rPr>
          <w:rFonts w:ascii="Aptos" w:hAnsi="Aptos"/>
        </w:rPr>
        <w:t xml:space="preserve"> reduces compliance costs</w:t>
      </w:r>
      <w:r w:rsidR="006D7C4A">
        <w:rPr>
          <w:rFonts w:ascii="Aptos" w:hAnsi="Aptos"/>
        </w:rPr>
        <w:t xml:space="preserve">, </w:t>
      </w:r>
      <w:r w:rsidR="003411E3">
        <w:rPr>
          <w:rFonts w:ascii="Aptos" w:hAnsi="Aptos"/>
        </w:rPr>
        <w:t>frees up resources</w:t>
      </w:r>
      <w:r w:rsidR="00553DB7">
        <w:rPr>
          <w:rFonts w:ascii="Aptos" w:hAnsi="Aptos"/>
        </w:rPr>
        <w:t xml:space="preserve"> to invest in innovation,</w:t>
      </w:r>
      <w:r w:rsidR="003555DF">
        <w:rPr>
          <w:rFonts w:ascii="Aptos" w:hAnsi="Aptos"/>
        </w:rPr>
        <w:t xml:space="preserve"> alleviates barriers to innovation,</w:t>
      </w:r>
      <w:r w:rsidR="00553DB7">
        <w:rPr>
          <w:rFonts w:ascii="Aptos" w:hAnsi="Aptos"/>
        </w:rPr>
        <w:t xml:space="preserve"> </w:t>
      </w:r>
      <w:r w:rsidR="006D7C4A">
        <w:rPr>
          <w:rFonts w:ascii="Aptos" w:hAnsi="Aptos"/>
        </w:rPr>
        <w:t xml:space="preserve">which is </w:t>
      </w:r>
      <w:r w:rsidR="00553DB7">
        <w:rPr>
          <w:rFonts w:ascii="Aptos" w:hAnsi="Aptos"/>
        </w:rPr>
        <w:t>resulting in more competition</w:t>
      </w:r>
      <w:r w:rsidR="00703377">
        <w:rPr>
          <w:rFonts w:ascii="Aptos" w:hAnsi="Aptos"/>
        </w:rPr>
        <w:t xml:space="preserve"> and EU economic growth</w:t>
      </w:r>
      <w:r w:rsidR="00F92281">
        <w:rPr>
          <w:rFonts w:ascii="Aptos" w:hAnsi="Aptos"/>
        </w:rPr>
        <w:t xml:space="preserve">, all the while </w:t>
      </w:r>
      <w:r w:rsidR="00787236">
        <w:rPr>
          <w:rFonts w:ascii="Aptos" w:hAnsi="Aptos"/>
        </w:rPr>
        <w:t>maintaining</w:t>
      </w:r>
      <w:r w:rsidR="00F92281">
        <w:rPr>
          <w:rFonts w:ascii="Aptos" w:hAnsi="Aptos"/>
        </w:rPr>
        <w:t xml:space="preserve"> high </w:t>
      </w:r>
      <w:r w:rsidR="00787236">
        <w:rPr>
          <w:rFonts w:ascii="Aptos" w:hAnsi="Aptos"/>
        </w:rPr>
        <w:t xml:space="preserve">standards of </w:t>
      </w:r>
      <w:r w:rsidR="00F92281">
        <w:rPr>
          <w:rFonts w:ascii="Aptos" w:hAnsi="Aptos"/>
        </w:rPr>
        <w:t>personal data protection</w:t>
      </w:r>
      <w:r w:rsidR="00553DB7">
        <w:rPr>
          <w:rFonts w:ascii="Aptos" w:hAnsi="Aptos"/>
        </w:rPr>
        <w:t xml:space="preserve">. </w:t>
      </w:r>
      <w:r w:rsidR="006B51A0">
        <w:rPr>
          <w:rFonts w:ascii="Aptos" w:hAnsi="Aptos"/>
        </w:rPr>
        <w:t>To achieve this, t</w:t>
      </w:r>
      <w:r w:rsidR="006D7C4A">
        <w:rPr>
          <w:rFonts w:ascii="Aptos" w:hAnsi="Aptos"/>
        </w:rPr>
        <w:t xml:space="preserve">he EU should </w:t>
      </w:r>
      <w:r w:rsidR="00D92705">
        <w:rPr>
          <w:rFonts w:ascii="Aptos" w:hAnsi="Aptos"/>
        </w:rPr>
        <w:t xml:space="preserve">drift away from </w:t>
      </w:r>
      <w:r w:rsidR="00E01676">
        <w:rPr>
          <w:rFonts w:ascii="Aptos" w:hAnsi="Aptos"/>
        </w:rPr>
        <w:t xml:space="preserve">a </w:t>
      </w:r>
      <w:r w:rsidR="00D92705">
        <w:rPr>
          <w:rFonts w:ascii="Aptos" w:hAnsi="Aptos"/>
        </w:rPr>
        <w:t>“tick-the</w:t>
      </w:r>
      <w:r w:rsidR="009503A8">
        <w:rPr>
          <w:rFonts w:ascii="Aptos" w:hAnsi="Aptos"/>
        </w:rPr>
        <w:t>-</w:t>
      </w:r>
      <w:r w:rsidR="00D92705">
        <w:rPr>
          <w:rFonts w:ascii="Aptos" w:hAnsi="Aptos"/>
        </w:rPr>
        <w:t>box”</w:t>
      </w:r>
      <w:r w:rsidR="009503A8">
        <w:rPr>
          <w:rFonts w:ascii="Aptos" w:hAnsi="Aptos"/>
        </w:rPr>
        <w:t xml:space="preserve"> </w:t>
      </w:r>
      <w:r w:rsidR="00D92705">
        <w:rPr>
          <w:rFonts w:ascii="Aptos" w:hAnsi="Aptos"/>
        </w:rPr>
        <w:t xml:space="preserve">compliance culture </w:t>
      </w:r>
      <w:r w:rsidR="009503A8">
        <w:rPr>
          <w:rFonts w:ascii="Aptos" w:hAnsi="Aptos"/>
        </w:rPr>
        <w:t>and steer towards</w:t>
      </w:r>
      <w:r w:rsidR="00A54066">
        <w:rPr>
          <w:rFonts w:ascii="Aptos" w:hAnsi="Aptos"/>
        </w:rPr>
        <w:t xml:space="preserve"> a more competitive</w:t>
      </w:r>
      <w:r w:rsidR="009503A8">
        <w:rPr>
          <w:rFonts w:ascii="Aptos" w:hAnsi="Aptos"/>
        </w:rPr>
        <w:t xml:space="preserve"> </w:t>
      </w:r>
      <w:r w:rsidR="00E01676">
        <w:rPr>
          <w:rFonts w:ascii="Aptos" w:hAnsi="Aptos"/>
        </w:rPr>
        <w:t>and innovative</w:t>
      </w:r>
      <w:r w:rsidR="005B3025">
        <w:rPr>
          <w:rFonts w:ascii="Aptos" w:hAnsi="Aptos"/>
        </w:rPr>
        <w:t xml:space="preserve">-friendly </w:t>
      </w:r>
      <w:r w:rsidR="00A558C4">
        <w:rPr>
          <w:rFonts w:ascii="Aptos" w:hAnsi="Aptos"/>
        </w:rPr>
        <w:t>regulatory approach</w:t>
      </w:r>
      <w:r w:rsidR="005B3025">
        <w:rPr>
          <w:rFonts w:ascii="Aptos" w:hAnsi="Aptos"/>
        </w:rPr>
        <w:t xml:space="preserve">. </w:t>
      </w:r>
      <w:r w:rsidR="00E940C7">
        <w:rPr>
          <w:rFonts w:ascii="Aptos" w:hAnsi="Aptos"/>
        </w:rPr>
        <w:t xml:space="preserve">While </w:t>
      </w:r>
      <w:r w:rsidR="00787236">
        <w:rPr>
          <w:rFonts w:ascii="Aptos" w:hAnsi="Aptos"/>
        </w:rPr>
        <w:t>many of the proposed</w:t>
      </w:r>
      <w:r w:rsidR="006535D4">
        <w:rPr>
          <w:rFonts w:ascii="Aptos" w:hAnsi="Aptos"/>
        </w:rPr>
        <w:t xml:space="preserve"> amendments </w:t>
      </w:r>
      <w:r w:rsidR="00787236">
        <w:rPr>
          <w:rFonts w:ascii="Aptos" w:hAnsi="Aptos"/>
        </w:rPr>
        <w:t>support</w:t>
      </w:r>
      <w:r w:rsidR="006535D4">
        <w:rPr>
          <w:rFonts w:ascii="Aptos" w:hAnsi="Aptos"/>
        </w:rPr>
        <w:t xml:space="preserve"> the objective, </w:t>
      </w:r>
      <w:r w:rsidR="00372A08">
        <w:rPr>
          <w:rFonts w:ascii="Aptos" w:hAnsi="Aptos"/>
        </w:rPr>
        <w:t>others would benefit from improvements.</w:t>
      </w:r>
      <w:r w:rsidR="00B71112">
        <w:rPr>
          <w:rFonts w:ascii="Aptos" w:hAnsi="Aptos"/>
        </w:rPr>
        <w:t xml:space="preserve"> </w:t>
      </w:r>
      <w:r w:rsidR="00372A08">
        <w:rPr>
          <w:rFonts w:ascii="Aptos" w:hAnsi="Aptos"/>
        </w:rPr>
        <w:t xml:space="preserve"> </w:t>
      </w:r>
      <w:r w:rsidR="00E940C7">
        <w:rPr>
          <w:rFonts w:ascii="Aptos" w:hAnsi="Aptos"/>
        </w:rPr>
        <w:t xml:space="preserve">To </w:t>
      </w:r>
      <w:r w:rsidR="00372A08">
        <w:rPr>
          <w:rFonts w:ascii="Aptos" w:hAnsi="Aptos"/>
        </w:rPr>
        <w:t xml:space="preserve">better </w:t>
      </w:r>
      <w:r w:rsidR="00E940C7">
        <w:rPr>
          <w:rFonts w:ascii="Aptos" w:hAnsi="Aptos"/>
        </w:rPr>
        <w:t>achieve th</w:t>
      </w:r>
      <w:r w:rsidR="00372A08">
        <w:rPr>
          <w:rFonts w:ascii="Aptos" w:hAnsi="Aptos"/>
        </w:rPr>
        <w:t>e omnibus</w:t>
      </w:r>
      <w:r w:rsidR="00367B20">
        <w:rPr>
          <w:rFonts w:ascii="Aptos" w:hAnsi="Aptos"/>
        </w:rPr>
        <w:t>’</w:t>
      </w:r>
      <w:r w:rsidR="00E940C7">
        <w:rPr>
          <w:rFonts w:ascii="Aptos" w:hAnsi="Aptos"/>
        </w:rPr>
        <w:t xml:space="preserve"> objective, FEDMA proposes</w:t>
      </w:r>
      <w:r w:rsidR="00372A08">
        <w:rPr>
          <w:rFonts w:ascii="Aptos" w:hAnsi="Aptos"/>
        </w:rPr>
        <w:t xml:space="preserve">: </w:t>
      </w:r>
    </w:p>
    <w:p w14:paraId="0E1AEFD3" w14:textId="3DDAA86D" w:rsidR="00F75777" w:rsidRDefault="00F75777" w:rsidP="007139DA">
      <w:pPr>
        <w:pStyle w:val="ListParagraph"/>
        <w:numPr>
          <w:ilvl w:val="0"/>
          <w:numId w:val="21"/>
        </w:numPr>
        <w:jc w:val="both"/>
        <w:rPr>
          <w:rFonts w:ascii="Aptos" w:hAnsi="Aptos"/>
        </w:rPr>
      </w:pPr>
      <w:r w:rsidRPr="00F75777">
        <w:rPr>
          <w:rFonts w:ascii="Aptos" w:hAnsi="Aptos"/>
        </w:rPr>
        <w:t>Rebalancing more fairly the existing regulatory framework between protecting personal data and stimulating economic growth to more closely align with recital 4 GDPR</w:t>
      </w:r>
    </w:p>
    <w:p w14:paraId="1F697F7C" w14:textId="0031B5E0" w:rsidR="000927B7" w:rsidRPr="00865620" w:rsidRDefault="00367B20" w:rsidP="007139DA">
      <w:pPr>
        <w:pStyle w:val="ListParagraph"/>
        <w:numPr>
          <w:ilvl w:val="0"/>
          <w:numId w:val="21"/>
        </w:numPr>
        <w:jc w:val="both"/>
        <w:rPr>
          <w:rFonts w:ascii="Aptos" w:hAnsi="Aptos"/>
        </w:rPr>
      </w:pPr>
      <w:r>
        <w:rPr>
          <w:rFonts w:ascii="Aptos" w:hAnsi="Aptos"/>
        </w:rPr>
        <w:t>A</w:t>
      </w:r>
      <w:r w:rsidR="000D6C56" w:rsidRPr="00865620">
        <w:rPr>
          <w:rFonts w:ascii="Aptos" w:hAnsi="Aptos"/>
        </w:rPr>
        <w:t>ddress</w:t>
      </w:r>
      <w:r>
        <w:rPr>
          <w:rFonts w:ascii="Aptos" w:hAnsi="Aptos"/>
        </w:rPr>
        <w:t>ing</w:t>
      </w:r>
      <w:r w:rsidR="000D6C56" w:rsidRPr="00865620">
        <w:rPr>
          <w:rFonts w:ascii="Aptos" w:hAnsi="Aptos"/>
        </w:rPr>
        <w:t xml:space="preserve"> cookie fatigue by maintaining </w:t>
      </w:r>
      <w:r w:rsidR="007139DA" w:rsidRPr="00865620">
        <w:rPr>
          <w:rFonts w:ascii="Aptos" w:hAnsi="Aptos"/>
        </w:rPr>
        <w:t>a technically feasible</w:t>
      </w:r>
      <w:r w:rsidR="00F2101E" w:rsidRPr="00865620">
        <w:rPr>
          <w:rFonts w:ascii="Aptos" w:hAnsi="Aptos"/>
        </w:rPr>
        <w:t xml:space="preserve"> </w:t>
      </w:r>
      <w:r w:rsidR="007139DA" w:rsidRPr="00865620">
        <w:rPr>
          <w:rFonts w:ascii="Aptos" w:hAnsi="Aptos"/>
        </w:rPr>
        <w:t xml:space="preserve">version of </w:t>
      </w:r>
      <w:r w:rsidR="00F2101E" w:rsidRPr="00865620">
        <w:rPr>
          <w:rFonts w:ascii="Aptos" w:hAnsi="Aptos"/>
        </w:rPr>
        <w:t xml:space="preserve">Art. 88a in the GDPR and deleting </w:t>
      </w:r>
      <w:r w:rsidR="007139DA" w:rsidRPr="00865620">
        <w:rPr>
          <w:rFonts w:ascii="Aptos" w:hAnsi="Aptos"/>
        </w:rPr>
        <w:t xml:space="preserve">Art. 5(3) ePrivacy Directive. </w:t>
      </w:r>
    </w:p>
    <w:p w14:paraId="30678A20" w14:textId="03016A3A" w:rsidR="007139DA" w:rsidRPr="00865620" w:rsidRDefault="0014644F" w:rsidP="007139DA">
      <w:pPr>
        <w:pStyle w:val="ListParagraph"/>
        <w:numPr>
          <w:ilvl w:val="0"/>
          <w:numId w:val="21"/>
        </w:numPr>
        <w:jc w:val="both"/>
        <w:rPr>
          <w:rFonts w:ascii="Aptos" w:hAnsi="Aptos"/>
        </w:rPr>
      </w:pPr>
      <w:r>
        <w:rPr>
          <w:rFonts w:ascii="Aptos" w:hAnsi="Aptos"/>
        </w:rPr>
        <w:t>M</w:t>
      </w:r>
      <w:r w:rsidR="006D767B" w:rsidRPr="00865620">
        <w:rPr>
          <w:rFonts w:ascii="Aptos" w:hAnsi="Aptos"/>
        </w:rPr>
        <w:t>odernis</w:t>
      </w:r>
      <w:r>
        <w:rPr>
          <w:rFonts w:ascii="Aptos" w:hAnsi="Aptos"/>
        </w:rPr>
        <w:t>ing</w:t>
      </w:r>
      <w:r w:rsidR="006D767B" w:rsidRPr="00865620">
        <w:rPr>
          <w:rFonts w:ascii="Aptos" w:hAnsi="Aptos"/>
        </w:rPr>
        <w:t xml:space="preserve"> and </w:t>
      </w:r>
      <w:r w:rsidR="002959BC" w:rsidRPr="00865620">
        <w:rPr>
          <w:rFonts w:ascii="Aptos" w:hAnsi="Aptos"/>
        </w:rPr>
        <w:t>harmonis</w:t>
      </w:r>
      <w:r>
        <w:rPr>
          <w:rFonts w:ascii="Aptos" w:hAnsi="Aptos"/>
        </w:rPr>
        <w:t>ing</w:t>
      </w:r>
      <w:r w:rsidR="002959BC" w:rsidRPr="00865620">
        <w:rPr>
          <w:rFonts w:ascii="Aptos" w:hAnsi="Aptos"/>
        </w:rPr>
        <w:t xml:space="preserve"> the interpretation of</w:t>
      </w:r>
      <w:r w:rsidR="006D767B" w:rsidRPr="00865620">
        <w:rPr>
          <w:rFonts w:ascii="Aptos" w:hAnsi="Aptos"/>
        </w:rPr>
        <w:t xml:space="preserve"> the</w:t>
      </w:r>
      <w:r w:rsidR="004F0198" w:rsidRPr="00865620">
        <w:rPr>
          <w:rFonts w:ascii="Aptos" w:hAnsi="Aptos"/>
        </w:rPr>
        <w:t xml:space="preserve"> rules on direct marketing in the</w:t>
      </w:r>
      <w:r w:rsidR="006D767B" w:rsidRPr="00865620">
        <w:rPr>
          <w:rFonts w:ascii="Aptos" w:hAnsi="Aptos"/>
        </w:rPr>
        <w:t xml:space="preserve"> ePrivacy Directive </w:t>
      </w:r>
      <w:r w:rsidR="00062AF9" w:rsidRPr="00865620">
        <w:rPr>
          <w:rFonts w:ascii="Aptos" w:hAnsi="Aptos"/>
        </w:rPr>
        <w:t xml:space="preserve">and </w:t>
      </w:r>
      <w:r w:rsidR="00C65FD0">
        <w:rPr>
          <w:rFonts w:ascii="Aptos" w:hAnsi="Aptos"/>
        </w:rPr>
        <w:t>harmonise interpretation in the EU</w:t>
      </w:r>
      <w:r w:rsidR="00062AF9" w:rsidRPr="00865620">
        <w:rPr>
          <w:rFonts w:ascii="Aptos" w:hAnsi="Aptos"/>
        </w:rPr>
        <w:t xml:space="preserve"> to stop </w:t>
      </w:r>
      <w:r w:rsidR="005D6D44" w:rsidRPr="00865620">
        <w:rPr>
          <w:rFonts w:ascii="Aptos" w:hAnsi="Aptos"/>
        </w:rPr>
        <w:t>slowing</w:t>
      </w:r>
      <w:r w:rsidR="00C65361" w:rsidRPr="00865620">
        <w:rPr>
          <w:rFonts w:ascii="Aptos" w:hAnsi="Aptos"/>
        </w:rPr>
        <w:t xml:space="preserve"> EU economic growth and </w:t>
      </w:r>
      <w:r w:rsidR="00FB5A93" w:rsidRPr="00865620">
        <w:rPr>
          <w:rFonts w:ascii="Aptos" w:hAnsi="Aptos"/>
        </w:rPr>
        <w:t>the uptake</w:t>
      </w:r>
      <w:r w:rsidR="00C65361" w:rsidRPr="00865620">
        <w:rPr>
          <w:rFonts w:ascii="Aptos" w:hAnsi="Aptos"/>
        </w:rPr>
        <w:t xml:space="preserve"> of cross-border activities</w:t>
      </w:r>
      <w:r w:rsidR="006D767B" w:rsidRPr="00865620">
        <w:rPr>
          <w:rFonts w:ascii="Aptos" w:hAnsi="Aptos"/>
        </w:rPr>
        <w:t>.</w:t>
      </w:r>
    </w:p>
    <w:p w14:paraId="51D87FD5" w14:textId="46AEE012" w:rsidR="00372A08" w:rsidRPr="00865620" w:rsidRDefault="002045E7" w:rsidP="0042702C">
      <w:pPr>
        <w:pStyle w:val="ListParagraph"/>
        <w:numPr>
          <w:ilvl w:val="0"/>
          <w:numId w:val="21"/>
        </w:numPr>
        <w:jc w:val="both"/>
        <w:rPr>
          <w:rFonts w:ascii="Aptos" w:hAnsi="Aptos"/>
        </w:rPr>
      </w:pPr>
      <w:r>
        <w:rPr>
          <w:rFonts w:ascii="Aptos" w:hAnsi="Aptos"/>
        </w:rPr>
        <w:t>Avoiding</w:t>
      </w:r>
      <w:r w:rsidR="00372A08" w:rsidRPr="00865620">
        <w:rPr>
          <w:rFonts w:ascii="Aptos" w:hAnsi="Aptos"/>
        </w:rPr>
        <w:t xml:space="preserve"> an exclusive browser-based consent control mechanism </w:t>
      </w:r>
      <w:r w:rsidR="00C84B05">
        <w:rPr>
          <w:rFonts w:ascii="Aptos" w:hAnsi="Aptos"/>
        </w:rPr>
        <w:t>and rather</w:t>
      </w:r>
      <w:r w:rsidR="00372A08" w:rsidRPr="00865620">
        <w:rPr>
          <w:rFonts w:ascii="Aptos" w:hAnsi="Aptos"/>
        </w:rPr>
        <w:t xml:space="preserve"> support a market-driven </w:t>
      </w:r>
      <w:r w:rsidR="0042702C" w:rsidRPr="00865620">
        <w:rPr>
          <w:rFonts w:ascii="Aptos" w:hAnsi="Aptos"/>
        </w:rPr>
        <w:t>approach and</w:t>
      </w:r>
      <w:r w:rsidR="000927B7" w:rsidRPr="00865620">
        <w:rPr>
          <w:rFonts w:ascii="Aptos" w:hAnsi="Aptos"/>
        </w:rPr>
        <w:t xml:space="preserve"> the coexistence of various technological solutions </w:t>
      </w:r>
      <w:r w:rsidR="00372A08" w:rsidRPr="00865620">
        <w:rPr>
          <w:rFonts w:ascii="Aptos" w:hAnsi="Aptos"/>
        </w:rPr>
        <w:t xml:space="preserve">developed </w:t>
      </w:r>
      <w:r w:rsidR="00454814" w:rsidRPr="00865620">
        <w:rPr>
          <w:rFonts w:ascii="Aptos" w:hAnsi="Aptos"/>
        </w:rPr>
        <w:t>independently</w:t>
      </w:r>
      <w:r w:rsidR="00372A08" w:rsidRPr="00865620">
        <w:rPr>
          <w:rFonts w:ascii="Aptos" w:hAnsi="Aptos"/>
        </w:rPr>
        <w:t xml:space="preserve"> or in collaboration with browser providers</w:t>
      </w:r>
      <w:r w:rsidR="002E7F13" w:rsidRPr="00865620">
        <w:rPr>
          <w:rFonts w:ascii="Aptos" w:hAnsi="Aptos"/>
        </w:rPr>
        <w:t>, which foster innovation and EU economic growth</w:t>
      </w:r>
      <w:r w:rsidR="00372A08" w:rsidRPr="00865620">
        <w:rPr>
          <w:rFonts w:ascii="Aptos" w:hAnsi="Aptos"/>
        </w:rPr>
        <w:t>.</w:t>
      </w:r>
      <w:r w:rsidR="0042702C" w:rsidRPr="00865620">
        <w:rPr>
          <w:rFonts w:ascii="Aptos" w:hAnsi="Aptos"/>
        </w:rPr>
        <w:t xml:space="preserve"> </w:t>
      </w:r>
    </w:p>
    <w:p w14:paraId="148C557E" w14:textId="4B3B30B9" w:rsidR="00E76DEA" w:rsidRPr="00865620" w:rsidRDefault="001F7248" w:rsidP="0042702C">
      <w:pPr>
        <w:pStyle w:val="ListParagraph"/>
        <w:numPr>
          <w:ilvl w:val="0"/>
          <w:numId w:val="21"/>
        </w:numPr>
        <w:jc w:val="both"/>
        <w:rPr>
          <w:rFonts w:ascii="Aptos" w:hAnsi="Aptos"/>
        </w:rPr>
      </w:pPr>
      <w:r>
        <w:rPr>
          <w:rFonts w:ascii="Aptos" w:hAnsi="Aptos"/>
        </w:rPr>
        <w:t>E</w:t>
      </w:r>
      <w:r w:rsidR="00E76DEA" w:rsidRPr="00865620">
        <w:rPr>
          <w:rFonts w:ascii="Aptos" w:hAnsi="Aptos"/>
        </w:rPr>
        <w:t>nsur</w:t>
      </w:r>
      <w:r w:rsidR="00C84B05">
        <w:rPr>
          <w:rFonts w:ascii="Aptos" w:hAnsi="Aptos"/>
        </w:rPr>
        <w:t>ing</w:t>
      </w:r>
      <w:r w:rsidR="00E76DEA" w:rsidRPr="00865620">
        <w:rPr>
          <w:rFonts w:ascii="Aptos" w:hAnsi="Aptos"/>
        </w:rPr>
        <w:t xml:space="preserve"> legal certainty through tech-neutral and simple identifiability criteria in the GDPR </w:t>
      </w:r>
      <w:r w:rsidR="00146C49" w:rsidRPr="00865620">
        <w:rPr>
          <w:rFonts w:ascii="Aptos" w:hAnsi="Aptos"/>
        </w:rPr>
        <w:t xml:space="preserve">definition of personal data </w:t>
      </w:r>
      <w:r>
        <w:rPr>
          <w:rFonts w:ascii="Aptos" w:hAnsi="Aptos"/>
        </w:rPr>
        <w:t>to support</w:t>
      </w:r>
      <w:r w:rsidR="00E76DEA" w:rsidRPr="00865620">
        <w:rPr>
          <w:rFonts w:ascii="Aptos" w:hAnsi="Aptos"/>
        </w:rPr>
        <w:t xml:space="preserve"> innovation</w:t>
      </w:r>
      <w:r w:rsidR="001D7C77">
        <w:rPr>
          <w:rFonts w:ascii="Aptos" w:hAnsi="Aptos"/>
        </w:rPr>
        <w:t xml:space="preserve">. </w:t>
      </w:r>
    </w:p>
    <w:p w14:paraId="353165AE" w14:textId="13F0E4BD" w:rsidR="00146C49" w:rsidRPr="00865620" w:rsidRDefault="001F7248" w:rsidP="0042702C">
      <w:pPr>
        <w:pStyle w:val="ListParagraph"/>
        <w:numPr>
          <w:ilvl w:val="0"/>
          <w:numId w:val="21"/>
        </w:numPr>
        <w:jc w:val="both"/>
        <w:rPr>
          <w:rFonts w:ascii="Aptos" w:hAnsi="Aptos"/>
        </w:rPr>
      </w:pPr>
      <w:r>
        <w:rPr>
          <w:rFonts w:ascii="Aptos" w:hAnsi="Aptos"/>
        </w:rPr>
        <w:lastRenderedPageBreak/>
        <w:t>Strengthening</w:t>
      </w:r>
      <w:r w:rsidR="00AB448D" w:rsidRPr="00865620">
        <w:rPr>
          <w:rFonts w:ascii="Aptos" w:hAnsi="Aptos"/>
        </w:rPr>
        <w:t xml:space="preserve"> </w:t>
      </w:r>
      <w:r w:rsidR="00AA0564" w:rsidRPr="00865620">
        <w:rPr>
          <w:rFonts w:ascii="Aptos" w:hAnsi="Aptos"/>
        </w:rPr>
        <w:t>global competitiveness</w:t>
      </w:r>
      <w:r w:rsidR="00AB448D" w:rsidRPr="00865620">
        <w:rPr>
          <w:rFonts w:ascii="Aptos" w:hAnsi="Aptos"/>
        </w:rPr>
        <w:t xml:space="preserve"> through ethical AI development and streamlined GDPR</w:t>
      </w:r>
      <w:r w:rsidR="00EE1652">
        <w:rPr>
          <w:rFonts w:ascii="Aptos" w:hAnsi="Aptos"/>
        </w:rPr>
        <w:t xml:space="preserve">, </w:t>
      </w:r>
      <w:r w:rsidR="00AB448D" w:rsidRPr="00865620">
        <w:rPr>
          <w:rFonts w:ascii="Aptos" w:hAnsi="Aptos"/>
        </w:rPr>
        <w:t>AI</w:t>
      </w:r>
      <w:r w:rsidR="002C70D4">
        <w:rPr>
          <w:rFonts w:ascii="Aptos" w:hAnsi="Aptos"/>
        </w:rPr>
        <w:t xml:space="preserve"> and </w:t>
      </w:r>
      <w:r w:rsidR="00AB448D" w:rsidRPr="00865620">
        <w:rPr>
          <w:rFonts w:ascii="Aptos" w:hAnsi="Aptos"/>
        </w:rPr>
        <w:t>cybersecurity rules</w:t>
      </w:r>
      <w:r w:rsidR="001D7C77">
        <w:rPr>
          <w:rFonts w:ascii="Aptos" w:hAnsi="Aptos"/>
        </w:rPr>
        <w:t xml:space="preserve">. </w:t>
      </w:r>
    </w:p>
    <w:p w14:paraId="08EDABDD" w14:textId="1B83EB86" w:rsidR="003C63EC" w:rsidRPr="00865620" w:rsidRDefault="00BE1AC3" w:rsidP="0042702C">
      <w:pPr>
        <w:pStyle w:val="ListParagraph"/>
        <w:numPr>
          <w:ilvl w:val="0"/>
          <w:numId w:val="21"/>
        </w:numPr>
        <w:jc w:val="both"/>
        <w:rPr>
          <w:rFonts w:ascii="Aptos" w:hAnsi="Aptos"/>
        </w:rPr>
      </w:pPr>
      <w:r>
        <w:rPr>
          <w:rFonts w:ascii="Aptos" w:hAnsi="Aptos"/>
        </w:rPr>
        <w:t>R</w:t>
      </w:r>
      <w:r w:rsidR="003C63EC" w:rsidRPr="00865620">
        <w:rPr>
          <w:rFonts w:ascii="Aptos" w:hAnsi="Aptos"/>
        </w:rPr>
        <w:t>eadjust</w:t>
      </w:r>
      <w:r>
        <w:rPr>
          <w:rFonts w:ascii="Aptos" w:hAnsi="Aptos"/>
        </w:rPr>
        <w:t>ing</w:t>
      </w:r>
      <w:r w:rsidR="003C63EC" w:rsidRPr="00865620">
        <w:rPr>
          <w:rFonts w:ascii="Aptos" w:hAnsi="Aptos"/>
        </w:rPr>
        <w:t xml:space="preserve"> the balance to protect businesses from abusive GDPR exploitation while safeguarding legitimate compensation rights</w:t>
      </w:r>
      <w:r w:rsidR="001D7C77">
        <w:rPr>
          <w:rFonts w:ascii="Aptos" w:hAnsi="Aptos"/>
        </w:rPr>
        <w:t>.</w:t>
      </w:r>
      <w:r w:rsidR="00865620" w:rsidRPr="00865620">
        <w:rPr>
          <w:rFonts w:ascii="Aptos" w:hAnsi="Aptos"/>
        </w:rPr>
        <w:t xml:space="preserve"> </w:t>
      </w:r>
    </w:p>
    <w:p w14:paraId="672A2058" w14:textId="3DD6DD2B" w:rsidR="00865620" w:rsidRPr="00865620" w:rsidRDefault="00BE1AC3" w:rsidP="0042702C">
      <w:pPr>
        <w:pStyle w:val="ListParagraph"/>
        <w:numPr>
          <w:ilvl w:val="0"/>
          <w:numId w:val="21"/>
        </w:numPr>
        <w:jc w:val="both"/>
        <w:rPr>
          <w:rFonts w:ascii="Aptos" w:hAnsi="Aptos"/>
        </w:rPr>
      </w:pPr>
      <w:r>
        <w:rPr>
          <w:rFonts w:ascii="Aptos" w:hAnsi="Aptos"/>
        </w:rPr>
        <w:t>U</w:t>
      </w:r>
      <w:r w:rsidR="00865620" w:rsidRPr="00865620">
        <w:rPr>
          <w:rFonts w:ascii="Aptos" w:hAnsi="Aptos"/>
        </w:rPr>
        <w:t>phold</w:t>
      </w:r>
      <w:r>
        <w:rPr>
          <w:rFonts w:ascii="Aptos" w:hAnsi="Aptos"/>
        </w:rPr>
        <w:t>ing</w:t>
      </w:r>
      <w:r w:rsidR="00865620" w:rsidRPr="00865620">
        <w:rPr>
          <w:rFonts w:ascii="Aptos" w:hAnsi="Aptos"/>
        </w:rPr>
        <w:t xml:space="preserve"> strong accountability through ROPA obligations to guarantee sustainable growth in </w:t>
      </w:r>
      <w:r w:rsidR="00704E75">
        <w:rPr>
          <w:rFonts w:ascii="Aptos" w:hAnsi="Aptos"/>
        </w:rPr>
        <w:t>data-driven</w:t>
      </w:r>
      <w:r w:rsidR="00704E75" w:rsidRPr="00865620">
        <w:rPr>
          <w:rFonts w:ascii="Aptos" w:hAnsi="Aptos"/>
        </w:rPr>
        <w:t xml:space="preserve"> </w:t>
      </w:r>
      <w:r w:rsidR="00865620" w:rsidRPr="00865620">
        <w:rPr>
          <w:rFonts w:ascii="Aptos" w:hAnsi="Aptos"/>
        </w:rPr>
        <w:t>marketing</w:t>
      </w:r>
      <w:r w:rsidR="00385A39">
        <w:rPr>
          <w:rFonts w:ascii="Aptos" w:hAnsi="Aptos"/>
        </w:rPr>
        <w:t xml:space="preserve">. </w:t>
      </w:r>
    </w:p>
    <w:p w14:paraId="353D5582" w14:textId="5FA0CA3A" w:rsidR="00DF1CB1" w:rsidRPr="00CA463E" w:rsidRDefault="004A533B" w:rsidP="00742BC3">
      <w:pPr>
        <w:jc w:val="both"/>
        <w:rPr>
          <w:rFonts w:ascii="Aptos" w:hAnsi="Aptos"/>
        </w:rPr>
      </w:pPr>
      <w:r>
        <w:rPr>
          <w:rFonts w:ascii="Aptos" w:hAnsi="Aptos"/>
        </w:rPr>
        <w:t xml:space="preserve">The </w:t>
      </w:r>
      <w:r w:rsidR="003C62DE">
        <w:rPr>
          <w:rFonts w:ascii="Aptos" w:hAnsi="Aptos"/>
        </w:rPr>
        <w:t xml:space="preserve">beneficial impacts </w:t>
      </w:r>
      <w:r w:rsidR="00A50B97">
        <w:rPr>
          <w:rFonts w:ascii="Aptos" w:hAnsi="Aptos"/>
        </w:rPr>
        <w:t xml:space="preserve">of the </w:t>
      </w:r>
      <w:r w:rsidR="002624EB">
        <w:rPr>
          <w:rFonts w:ascii="Aptos" w:hAnsi="Aptos"/>
        </w:rPr>
        <w:t>above-mentioned</w:t>
      </w:r>
      <w:r w:rsidR="00A50B97">
        <w:rPr>
          <w:rFonts w:ascii="Aptos" w:hAnsi="Aptos"/>
        </w:rPr>
        <w:t xml:space="preserve"> proposals</w:t>
      </w:r>
      <w:r w:rsidR="003C62DE">
        <w:rPr>
          <w:rFonts w:ascii="Aptos" w:hAnsi="Aptos"/>
        </w:rPr>
        <w:t xml:space="preserve"> will </w:t>
      </w:r>
      <w:r w:rsidR="00A50B97">
        <w:rPr>
          <w:rFonts w:ascii="Aptos" w:hAnsi="Aptos"/>
        </w:rPr>
        <w:t xml:space="preserve">extend beyond the </w:t>
      </w:r>
      <w:r w:rsidR="00704E75">
        <w:rPr>
          <w:rFonts w:ascii="Aptos" w:hAnsi="Aptos"/>
        </w:rPr>
        <w:t>data-driven</w:t>
      </w:r>
      <w:r w:rsidR="00704E75" w:rsidRPr="00865620">
        <w:rPr>
          <w:rFonts w:ascii="Aptos" w:hAnsi="Aptos"/>
        </w:rPr>
        <w:t xml:space="preserve"> </w:t>
      </w:r>
      <w:r w:rsidR="00F36052">
        <w:rPr>
          <w:rFonts w:ascii="Aptos" w:hAnsi="Aptos"/>
        </w:rPr>
        <w:t>marketing sector. P</w:t>
      </w:r>
      <w:r w:rsidR="0088308E">
        <w:rPr>
          <w:rFonts w:ascii="Aptos" w:hAnsi="Aptos"/>
        </w:rPr>
        <w:t xml:space="preserve">ersonalised </w:t>
      </w:r>
      <w:r w:rsidR="0088308E" w:rsidRPr="009A32F7">
        <w:rPr>
          <w:rFonts w:ascii="Aptos" w:hAnsi="Aptos"/>
        </w:rPr>
        <w:t>digital advertising plays</w:t>
      </w:r>
      <w:r w:rsidR="0088308E">
        <w:rPr>
          <w:rFonts w:ascii="Aptos" w:hAnsi="Aptos"/>
        </w:rPr>
        <w:t xml:space="preserve"> </w:t>
      </w:r>
      <w:r w:rsidR="00F36052">
        <w:rPr>
          <w:rFonts w:ascii="Aptos" w:hAnsi="Aptos"/>
        </w:rPr>
        <w:t xml:space="preserve">a unique role </w:t>
      </w:r>
      <w:r w:rsidR="0088308E">
        <w:rPr>
          <w:rFonts w:ascii="Aptos" w:hAnsi="Aptos"/>
        </w:rPr>
        <w:t>in the EU economy</w:t>
      </w:r>
      <w:r w:rsidR="00F36052">
        <w:rPr>
          <w:rFonts w:ascii="Aptos" w:hAnsi="Aptos"/>
        </w:rPr>
        <w:t xml:space="preserve">: </w:t>
      </w:r>
      <w:r w:rsidR="009A32F7" w:rsidRPr="009A32F7">
        <w:rPr>
          <w:rFonts w:ascii="Aptos" w:hAnsi="Aptos"/>
        </w:rPr>
        <w:t>76% of SM</w:t>
      </w:r>
      <w:r w:rsidR="009A32F7">
        <w:rPr>
          <w:rFonts w:ascii="Aptos" w:hAnsi="Aptos"/>
        </w:rPr>
        <w:t>E</w:t>
      </w:r>
      <w:r w:rsidR="009A32F7" w:rsidRPr="009A32F7">
        <w:rPr>
          <w:rFonts w:ascii="Aptos" w:hAnsi="Aptos"/>
        </w:rPr>
        <w:t>s report that it helps them compete with larger firms and 86% attributing their recent revenue growth directly to its use.</w:t>
      </w:r>
      <w:r w:rsidR="00EB3D43">
        <w:rPr>
          <w:rStyle w:val="FootnoteReference"/>
          <w:rFonts w:ascii="Aptos" w:hAnsi="Aptos"/>
        </w:rPr>
        <w:footnoteReference w:id="1"/>
      </w:r>
      <w:r w:rsidR="007D3573">
        <w:rPr>
          <w:rFonts w:ascii="Aptos" w:hAnsi="Aptos"/>
        </w:rPr>
        <w:t xml:space="preserve"> </w:t>
      </w:r>
      <w:r w:rsidR="007D3573" w:rsidRPr="007D3573">
        <w:rPr>
          <w:rFonts w:ascii="Aptos" w:hAnsi="Aptos"/>
        </w:rPr>
        <w:t>Ensuring that regulatory frameworks remain workable</w:t>
      </w:r>
      <w:r w:rsidR="00247063">
        <w:rPr>
          <w:rFonts w:ascii="Aptos" w:hAnsi="Aptos"/>
        </w:rPr>
        <w:t xml:space="preserve"> and oriented towards economic growth</w:t>
      </w:r>
      <w:r w:rsidR="007D3573" w:rsidRPr="007D3573">
        <w:rPr>
          <w:rFonts w:ascii="Aptos" w:hAnsi="Aptos"/>
        </w:rPr>
        <w:t xml:space="preserve"> is essential to safeguarding the competitiveness of Europe’s economy and the smaller companies that depend on personalised advertising to innovate and create value across the </w:t>
      </w:r>
      <w:r w:rsidR="00037C93">
        <w:rPr>
          <w:rFonts w:ascii="Aptos" w:hAnsi="Aptos"/>
        </w:rPr>
        <w:t xml:space="preserve">European </w:t>
      </w:r>
      <w:r w:rsidR="007D3573" w:rsidRPr="007D3573">
        <w:rPr>
          <w:rFonts w:ascii="Aptos" w:hAnsi="Aptos"/>
        </w:rPr>
        <w:t>Single Market.</w:t>
      </w:r>
    </w:p>
    <w:p w14:paraId="6DE35815" w14:textId="58287C35" w:rsidR="0000557B" w:rsidRPr="004F2941" w:rsidRDefault="00293C14" w:rsidP="004F2941">
      <w:pPr>
        <w:jc w:val="both"/>
        <w:rPr>
          <w:rFonts w:ascii="Aptos" w:hAnsi="Aptos"/>
          <w:b/>
          <w:bCs/>
          <w:color w:val="00B0F0"/>
          <w:sz w:val="28"/>
          <w:szCs w:val="28"/>
        </w:rPr>
      </w:pPr>
      <w:r w:rsidRPr="004F2941">
        <w:rPr>
          <w:rFonts w:ascii="Aptos" w:hAnsi="Aptos"/>
          <w:b/>
          <w:bCs/>
          <w:color w:val="00B0F0"/>
          <w:sz w:val="28"/>
          <w:szCs w:val="28"/>
        </w:rPr>
        <w:t xml:space="preserve">Rebalancing </w:t>
      </w:r>
      <w:r w:rsidR="0056013A" w:rsidRPr="004F2941">
        <w:rPr>
          <w:rFonts w:ascii="Aptos" w:hAnsi="Aptos"/>
          <w:b/>
          <w:bCs/>
          <w:color w:val="00B0F0"/>
          <w:sz w:val="28"/>
          <w:szCs w:val="28"/>
        </w:rPr>
        <w:t xml:space="preserve">more fairly </w:t>
      </w:r>
      <w:r w:rsidRPr="004F2941">
        <w:rPr>
          <w:rFonts w:ascii="Aptos" w:hAnsi="Aptos"/>
          <w:b/>
          <w:bCs/>
          <w:color w:val="00B0F0"/>
          <w:sz w:val="28"/>
          <w:szCs w:val="28"/>
        </w:rPr>
        <w:t xml:space="preserve">the </w:t>
      </w:r>
      <w:r w:rsidR="0056013A" w:rsidRPr="004F2941">
        <w:rPr>
          <w:rFonts w:ascii="Aptos" w:hAnsi="Aptos"/>
          <w:b/>
          <w:bCs/>
          <w:color w:val="00B0F0"/>
          <w:sz w:val="28"/>
          <w:szCs w:val="28"/>
        </w:rPr>
        <w:t xml:space="preserve">existing </w:t>
      </w:r>
      <w:r w:rsidRPr="004F2941">
        <w:rPr>
          <w:rFonts w:ascii="Aptos" w:hAnsi="Aptos"/>
          <w:b/>
          <w:bCs/>
          <w:color w:val="00B0F0"/>
          <w:sz w:val="28"/>
          <w:szCs w:val="28"/>
        </w:rPr>
        <w:t xml:space="preserve">regulatory framework </w:t>
      </w:r>
      <w:r w:rsidR="00E222C8" w:rsidRPr="004F2941">
        <w:rPr>
          <w:rFonts w:ascii="Aptos" w:hAnsi="Aptos"/>
          <w:b/>
          <w:bCs/>
          <w:color w:val="00B0F0"/>
          <w:sz w:val="28"/>
          <w:szCs w:val="28"/>
        </w:rPr>
        <w:t xml:space="preserve">between protecting personal data </w:t>
      </w:r>
      <w:r w:rsidR="00F10967" w:rsidRPr="004F2941">
        <w:rPr>
          <w:rFonts w:ascii="Aptos" w:hAnsi="Aptos"/>
          <w:b/>
          <w:bCs/>
          <w:color w:val="00B0F0"/>
          <w:sz w:val="28"/>
          <w:szCs w:val="28"/>
        </w:rPr>
        <w:t>and</w:t>
      </w:r>
      <w:r w:rsidR="00E222C8" w:rsidRPr="004F2941">
        <w:rPr>
          <w:rFonts w:ascii="Aptos" w:hAnsi="Aptos"/>
          <w:b/>
          <w:bCs/>
          <w:color w:val="00B0F0"/>
          <w:sz w:val="28"/>
          <w:szCs w:val="28"/>
        </w:rPr>
        <w:t xml:space="preserve"> stimulating economic growth </w:t>
      </w:r>
      <w:r w:rsidR="00C167B3" w:rsidRPr="004F2941">
        <w:rPr>
          <w:rFonts w:ascii="Aptos" w:hAnsi="Aptos"/>
          <w:b/>
          <w:bCs/>
          <w:color w:val="00B0F0"/>
          <w:sz w:val="28"/>
          <w:szCs w:val="28"/>
        </w:rPr>
        <w:t>to more closely align with recital 4 GDPR</w:t>
      </w:r>
    </w:p>
    <w:p w14:paraId="72E24B5A" w14:textId="50CB9E27" w:rsidR="00E55962" w:rsidRPr="00E55962" w:rsidRDefault="00293C14" w:rsidP="00360F73">
      <w:pPr>
        <w:jc w:val="both"/>
        <w:rPr>
          <w:rFonts w:ascii="Aptos" w:hAnsi="Aptos"/>
        </w:rPr>
      </w:pPr>
      <w:r>
        <w:rPr>
          <w:rFonts w:ascii="Aptos" w:hAnsi="Aptos"/>
        </w:rPr>
        <w:t>Although</w:t>
      </w:r>
      <w:r w:rsidR="00E55962" w:rsidRPr="00E55962">
        <w:rPr>
          <w:rFonts w:ascii="Aptos" w:hAnsi="Aptos"/>
        </w:rPr>
        <w:t xml:space="preserve"> we recognize that it would be only one of many factors that need to be addressed to resolve the EU’s competitiveness challenges, a balanced regulatory framework for the use of data in marketing, innovation and business development, is crucial to achieving the goals of enhanced competitiveness and increased growth. It also requires a new approach: a high threshold for whether new legislation is needed at all, principles-based rules rather than detailed regulation, and impact assessments that rigorously examine how proposals and existing legal frameworks affect innovation and the enterprise</w:t>
      </w:r>
      <w:r w:rsidR="00C85BFF">
        <w:rPr>
          <w:rFonts w:ascii="Aptos" w:hAnsi="Aptos"/>
        </w:rPr>
        <w:t>s</w:t>
      </w:r>
      <w:r w:rsidR="00E55962" w:rsidRPr="00E55962">
        <w:rPr>
          <w:rFonts w:ascii="Aptos" w:hAnsi="Aptos"/>
        </w:rPr>
        <w:t xml:space="preserve"> of the future.</w:t>
      </w:r>
    </w:p>
    <w:p w14:paraId="6E71ACC2" w14:textId="5D3BD139" w:rsidR="00E55962" w:rsidRPr="00E55962" w:rsidRDefault="00E55962" w:rsidP="00360F73">
      <w:pPr>
        <w:jc w:val="both"/>
        <w:rPr>
          <w:rFonts w:ascii="Aptos" w:hAnsi="Aptos"/>
        </w:rPr>
      </w:pPr>
      <w:r w:rsidRPr="00E55962">
        <w:rPr>
          <w:rFonts w:ascii="Aptos" w:hAnsi="Aptos"/>
        </w:rPr>
        <w:t>Beyond reviewing legislation itself, we must also assess how key digital laws have been implemented</w:t>
      </w:r>
      <w:r w:rsidR="00C85BFF">
        <w:rPr>
          <w:rFonts w:ascii="Aptos" w:hAnsi="Aptos"/>
        </w:rPr>
        <w:t>,</w:t>
      </w:r>
      <w:r w:rsidRPr="00E55962">
        <w:rPr>
          <w:rFonts w:ascii="Aptos" w:hAnsi="Aptos"/>
        </w:rPr>
        <w:t xml:space="preserve"> particularly their practical impact on competitiveness, which is often overlooked</w:t>
      </w:r>
      <w:r w:rsidRPr="00AB5AA8">
        <w:rPr>
          <w:rFonts w:ascii="Aptos" w:hAnsi="Aptos"/>
        </w:rPr>
        <w:t xml:space="preserve">. </w:t>
      </w:r>
      <w:r w:rsidRPr="004F2941">
        <w:rPr>
          <w:rFonts w:ascii="Aptos" w:hAnsi="Aptos"/>
        </w:rPr>
        <w:t>Although the principles of the GDPR were designed to strike an acceptable balance between businesses’ legitimate need to process data and the</w:t>
      </w:r>
      <w:r w:rsidR="00624336" w:rsidRPr="004F2941">
        <w:rPr>
          <w:rFonts w:ascii="Aptos" w:hAnsi="Aptos"/>
        </w:rPr>
        <w:t xml:space="preserve"> crucial</w:t>
      </w:r>
      <w:r w:rsidRPr="004F2941">
        <w:rPr>
          <w:rFonts w:ascii="Aptos" w:hAnsi="Aptos"/>
        </w:rPr>
        <w:t xml:space="preserve"> need to protect sensitive data,</w:t>
      </w:r>
      <w:r w:rsidR="00103AA9" w:rsidRPr="004F2941">
        <w:rPr>
          <w:rStyle w:val="FootnoteReference"/>
          <w:rFonts w:ascii="Aptos" w:hAnsi="Aptos"/>
        </w:rPr>
        <w:footnoteReference w:id="2"/>
      </w:r>
      <w:r w:rsidRPr="004F2941">
        <w:rPr>
          <w:rFonts w:ascii="Aptos" w:hAnsi="Aptos"/>
        </w:rPr>
        <w:t xml:space="preserve"> an inherent imbalance in its application has existed from the outset – one that has increasingly led to competitiveness issues over time</w:t>
      </w:r>
      <w:r w:rsidRPr="00AB5AA8">
        <w:rPr>
          <w:rFonts w:ascii="Aptos" w:hAnsi="Aptos"/>
        </w:rPr>
        <w:t>.</w:t>
      </w:r>
      <w:r w:rsidRPr="00E55962">
        <w:rPr>
          <w:rFonts w:ascii="Aptos" w:hAnsi="Aptos"/>
        </w:rPr>
        <w:t xml:space="preserve"> A key part of this imbalance lies in the role assigned to the European Data Protection Board (EDPB) and the fact that its guidelines, in effect, ha</w:t>
      </w:r>
      <w:r w:rsidR="00C559A8">
        <w:rPr>
          <w:rFonts w:ascii="Aptos" w:hAnsi="Aptos"/>
        </w:rPr>
        <w:t>ve</w:t>
      </w:r>
      <w:r w:rsidRPr="00E55962">
        <w:rPr>
          <w:rFonts w:ascii="Aptos" w:hAnsi="Aptos"/>
        </w:rPr>
        <w:t xml:space="preserve"> no counterpart that takes its starting point in interpreting the GDPR through the lens of European competitiveness. </w:t>
      </w:r>
    </w:p>
    <w:p w14:paraId="2FE7347E" w14:textId="61FD1B30" w:rsidR="00E55962" w:rsidRDefault="00E55962" w:rsidP="00360F73">
      <w:pPr>
        <w:jc w:val="both"/>
        <w:rPr>
          <w:rFonts w:ascii="Aptos" w:hAnsi="Aptos"/>
        </w:rPr>
      </w:pPr>
      <w:r w:rsidRPr="00E55962">
        <w:rPr>
          <w:rFonts w:ascii="Aptos" w:hAnsi="Aptos"/>
        </w:rPr>
        <w:t>It is also worth noting that any changes to the GDPR itself risk being ineffective should the EDPB continue in its line of expansive interpretations and restrictive</w:t>
      </w:r>
      <w:r w:rsidR="00763413">
        <w:rPr>
          <w:rFonts w:ascii="Aptos" w:hAnsi="Aptos"/>
        </w:rPr>
        <w:t>-to-European-growth</w:t>
      </w:r>
      <w:r w:rsidRPr="00E55962">
        <w:rPr>
          <w:rFonts w:ascii="Aptos" w:hAnsi="Aptos"/>
        </w:rPr>
        <w:t xml:space="preserve"> guidelines. The core issue is also how the legal text itself is applied in practice.</w:t>
      </w:r>
      <w:r w:rsidR="00C75B85">
        <w:rPr>
          <w:rFonts w:ascii="Aptos" w:hAnsi="Aptos"/>
        </w:rPr>
        <w:t xml:space="preserve"> </w:t>
      </w:r>
      <w:r w:rsidR="00D812F1" w:rsidRPr="00D812F1">
        <w:rPr>
          <w:rFonts w:ascii="Aptos" w:hAnsi="Aptos"/>
        </w:rPr>
        <w:t xml:space="preserve">FEDMA calls on the EU to </w:t>
      </w:r>
      <w:r w:rsidR="00D812F1" w:rsidRPr="00D812F1">
        <w:rPr>
          <w:rFonts w:ascii="Aptos" w:hAnsi="Aptos"/>
        </w:rPr>
        <w:lastRenderedPageBreak/>
        <w:t>foster a more balanced regulatory approach</w:t>
      </w:r>
      <w:r w:rsidR="00D812F1">
        <w:rPr>
          <w:rFonts w:ascii="Aptos" w:hAnsi="Aptos"/>
        </w:rPr>
        <w:t xml:space="preserve">, </w:t>
      </w:r>
      <w:r w:rsidR="00D812F1" w:rsidRPr="00D812F1">
        <w:rPr>
          <w:rFonts w:ascii="Aptos" w:hAnsi="Aptos"/>
        </w:rPr>
        <w:t>one that protects personal data while also enabling economic growth</w:t>
      </w:r>
      <w:r w:rsidR="00D812F1">
        <w:rPr>
          <w:rFonts w:ascii="Aptos" w:hAnsi="Aptos"/>
        </w:rPr>
        <w:t xml:space="preserve">, </w:t>
      </w:r>
      <w:r w:rsidR="00D812F1" w:rsidRPr="00D812F1">
        <w:rPr>
          <w:rFonts w:ascii="Aptos" w:hAnsi="Aptos"/>
        </w:rPr>
        <w:t>in line with the spirit of Recital 4 of the GDPR</w:t>
      </w:r>
      <w:r w:rsidR="0056013A">
        <w:rPr>
          <w:rFonts w:ascii="Aptos" w:hAnsi="Aptos"/>
        </w:rPr>
        <w:t xml:space="preserve">. </w:t>
      </w:r>
      <w:r w:rsidRPr="00E55962">
        <w:rPr>
          <w:rFonts w:ascii="Aptos" w:hAnsi="Aptos"/>
        </w:rPr>
        <w:t xml:space="preserve">To ensure that competitiveness plays a much greater role in the interpretations, including the legitimate data needs of European businesses, we are suggesting amendments to </w:t>
      </w:r>
      <w:r w:rsidR="008A00BC">
        <w:rPr>
          <w:rFonts w:ascii="Aptos" w:hAnsi="Aptos"/>
        </w:rPr>
        <w:t xml:space="preserve">the </w:t>
      </w:r>
      <w:r w:rsidRPr="00E55962">
        <w:rPr>
          <w:rFonts w:ascii="Aptos" w:hAnsi="Aptos"/>
        </w:rPr>
        <w:t xml:space="preserve">GDPR in either an article or a recital to rebalance the GDPR. </w:t>
      </w:r>
    </w:p>
    <w:p w14:paraId="2DE3CB85" w14:textId="6A3FE085" w:rsidR="00293C14" w:rsidRDefault="00293C14" w:rsidP="00360F73">
      <w:pPr>
        <w:pStyle w:val="ListParagraph"/>
        <w:numPr>
          <w:ilvl w:val="0"/>
          <w:numId w:val="22"/>
        </w:numPr>
        <w:jc w:val="both"/>
        <w:rPr>
          <w:rFonts w:ascii="Aptos" w:hAnsi="Aptos"/>
          <w:b/>
          <w:bCs/>
          <w:color w:val="002060"/>
        </w:rPr>
      </w:pPr>
      <w:r>
        <w:rPr>
          <w:rFonts w:ascii="Aptos" w:hAnsi="Aptos"/>
          <w:b/>
          <w:bCs/>
          <w:color w:val="002060"/>
        </w:rPr>
        <w:t>Proposed amendment to article 1 (add new paragraph 1a) GDPR</w:t>
      </w:r>
    </w:p>
    <w:p w14:paraId="44310907" w14:textId="5E821241" w:rsidR="00E55962" w:rsidRDefault="00E55962" w:rsidP="00360F73">
      <w:pPr>
        <w:jc w:val="both"/>
        <w:rPr>
          <w:rFonts w:ascii="Aptos" w:hAnsi="Aptos"/>
        </w:rPr>
      </w:pPr>
      <w:r w:rsidRPr="00E55962">
        <w:rPr>
          <w:rFonts w:ascii="Aptos" w:hAnsi="Aptos"/>
        </w:rPr>
        <w:t xml:space="preserve">In protecting natural persons with regard to the processing of personal data, </w:t>
      </w:r>
      <w:r w:rsidR="00997B4F">
        <w:rPr>
          <w:rFonts w:ascii="Aptos" w:hAnsi="Aptos"/>
        </w:rPr>
        <w:t>the GDPR</w:t>
      </w:r>
      <w:r w:rsidRPr="00E55962">
        <w:rPr>
          <w:rFonts w:ascii="Aptos" w:hAnsi="Aptos"/>
        </w:rPr>
        <w:t xml:space="preserve"> shall also ensure conditions for the competitiveness of the Union economy and the freedom to conduct a business, in particular by supporting proportionate, risk-based and technology-neutral rules that enable lawful data use across the internal market. The interpretation and application of </w:t>
      </w:r>
      <w:r w:rsidR="00997B4F">
        <w:rPr>
          <w:rFonts w:ascii="Aptos" w:hAnsi="Aptos"/>
        </w:rPr>
        <w:t>the GDPR</w:t>
      </w:r>
      <w:r w:rsidRPr="00E55962">
        <w:rPr>
          <w:rFonts w:ascii="Aptos" w:hAnsi="Aptos"/>
        </w:rPr>
        <w:t xml:space="preserve"> shall respect the principles of proportionality and legal certainty and shall not unduly restrict legitimate commercial activities where adequate safeguards for individuals are in place.</w:t>
      </w:r>
    </w:p>
    <w:p w14:paraId="6F049F77" w14:textId="6B299B93" w:rsidR="00293C14" w:rsidRDefault="00293C14" w:rsidP="00360F73">
      <w:pPr>
        <w:pStyle w:val="ListParagraph"/>
        <w:numPr>
          <w:ilvl w:val="0"/>
          <w:numId w:val="22"/>
        </w:numPr>
        <w:jc w:val="both"/>
        <w:rPr>
          <w:rFonts w:ascii="Aptos" w:hAnsi="Aptos"/>
          <w:b/>
          <w:bCs/>
          <w:color w:val="002060"/>
        </w:rPr>
      </w:pPr>
      <w:r>
        <w:rPr>
          <w:rFonts w:ascii="Aptos" w:hAnsi="Aptos"/>
          <w:b/>
          <w:bCs/>
          <w:color w:val="002060"/>
        </w:rPr>
        <w:t>A proposed new recital X to GDPR</w:t>
      </w:r>
    </w:p>
    <w:p w14:paraId="74BEBCC7" w14:textId="5AD72FA9" w:rsidR="00E55962" w:rsidRDefault="00E55962" w:rsidP="00360F73">
      <w:pPr>
        <w:jc w:val="both"/>
        <w:rPr>
          <w:rFonts w:ascii="Aptos" w:hAnsi="Aptos"/>
        </w:rPr>
      </w:pPr>
      <w:r w:rsidRPr="00E55962">
        <w:rPr>
          <w:rFonts w:ascii="Aptos" w:hAnsi="Aptos"/>
        </w:rPr>
        <w:t xml:space="preserve">In pursuing the </w:t>
      </w:r>
      <w:r w:rsidR="0018649B">
        <w:rPr>
          <w:rFonts w:ascii="Aptos" w:hAnsi="Aptos"/>
        </w:rPr>
        <w:t>EU</w:t>
      </w:r>
      <w:r w:rsidR="0018649B" w:rsidRPr="00E55962">
        <w:rPr>
          <w:rFonts w:ascii="Aptos" w:hAnsi="Aptos"/>
        </w:rPr>
        <w:t xml:space="preserve">’s </w:t>
      </w:r>
      <w:r w:rsidRPr="00E55962">
        <w:rPr>
          <w:rFonts w:ascii="Aptos" w:hAnsi="Aptos"/>
        </w:rPr>
        <w:t xml:space="preserve">objectives for a well-functioning internal market and sustainable competitiveness, </w:t>
      </w:r>
      <w:r w:rsidR="0018649B">
        <w:rPr>
          <w:rFonts w:ascii="Aptos" w:hAnsi="Aptos"/>
        </w:rPr>
        <w:t>the GDPR</w:t>
      </w:r>
      <w:r w:rsidRPr="00E55962">
        <w:rPr>
          <w:rFonts w:ascii="Aptos" w:hAnsi="Aptos"/>
        </w:rPr>
        <w:t xml:space="preserve"> shall be applied in a manner that safeguards the rights to privacy and protection of personal data of natural persons (Articles 7 and 8 of the Charter</w:t>
      </w:r>
      <w:r w:rsidR="00B722B2">
        <w:rPr>
          <w:rFonts w:ascii="Aptos" w:hAnsi="Aptos"/>
        </w:rPr>
        <w:t xml:space="preserve"> of fundamental rights of the EU</w:t>
      </w:r>
      <w:r w:rsidRPr="00E55962">
        <w:rPr>
          <w:rFonts w:ascii="Aptos" w:hAnsi="Aptos"/>
        </w:rPr>
        <w:t>) while equally respecting other freedoms such as the freedom to conduct a business and the freedom to provide and receive services within the Union (</w:t>
      </w:r>
      <w:r w:rsidR="00B722B2" w:rsidRPr="00E55962">
        <w:rPr>
          <w:rFonts w:ascii="Aptos" w:hAnsi="Aptos"/>
        </w:rPr>
        <w:t>Art</w:t>
      </w:r>
      <w:r w:rsidR="00B722B2">
        <w:rPr>
          <w:rFonts w:ascii="Aptos" w:hAnsi="Aptos"/>
        </w:rPr>
        <w:t>.</w:t>
      </w:r>
      <w:r w:rsidR="00B722B2" w:rsidRPr="00E55962">
        <w:rPr>
          <w:rFonts w:ascii="Aptos" w:hAnsi="Aptos"/>
        </w:rPr>
        <w:t xml:space="preserve"> </w:t>
      </w:r>
      <w:r w:rsidRPr="00E55962">
        <w:rPr>
          <w:rFonts w:ascii="Aptos" w:hAnsi="Aptos"/>
        </w:rPr>
        <w:t>16 of the Charter</w:t>
      </w:r>
      <w:r w:rsidR="00B722B2" w:rsidRPr="00B722B2">
        <w:rPr>
          <w:rFonts w:ascii="Aptos" w:hAnsi="Aptos"/>
        </w:rPr>
        <w:t xml:space="preserve"> </w:t>
      </w:r>
      <w:r w:rsidR="00B722B2">
        <w:rPr>
          <w:rFonts w:ascii="Aptos" w:hAnsi="Aptos"/>
        </w:rPr>
        <w:t>of fundamental rights of the EU</w:t>
      </w:r>
      <w:r w:rsidRPr="00E55962">
        <w:rPr>
          <w:rFonts w:ascii="Aptos" w:hAnsi="Aptos"/>
        </w:rPr>
        <w:t xml:space="preserve">; </w:t>
      </w:r>
      <w:r w:rsidR="00B722B2" w:rsidRPr="00E55962">
        <w:rPr>
          <w:rFonts w:ascii="Aptos" w:hAnsi="Aptos"/>
        </w:rPr>
        <w:t>Art</w:t>
      </w:r>
      <w:r w:rsidR="00B722B2">
        <w:rPr>
          <w:rFonts w:ascii="Aptos" w:hAnsi="Aptos"/>
        </w:rPr>
        <w:t>.</w:t>
      </w:r>
      <w:r w:rsidR="00B722B2" w:rsidRPr="00E55962">
        <w:rPr>
          <w:rFonts w:ascii="Aptos" w:hAnsi="Aptos"/>
        </w:rPr>
        <w:t xml:space="preserve"> </w:t>
      </w:r>
      <w:r w:rsidRPr="00E55962">
        <w:rPr>
          <w:rFonts w:ascii="Aptos" w:hAnsi="Aptos"/>
        </w:rPr>
        <w:t xml:space="preserve">114 </w:t>
      </w:r>
      <w:r w:rsidR="00B722B2">
        <w:rPr>
          <w:rFonts w:ascii="Aptos" w:hAnsi="Aptos"/>
        </w:rPr>
        <w:t xml:space="preserve">of the </w:t>
      </w:r>
      <w:r w:rsidRPr="00E55962">
        <w:rPr>
          <w:rFonts w:ascii="Aptos" w:hAnsi="Aptos"/>
        </w:rPr>
        <w:t>T</w:t>
      </w:r>
      <w:r w:rsidR="00B722B2">
        <w:rPr>
          <w:rFonts w:ascii="Aptos" w:hAnsi="Aptos"/>
        </w:rPr>
        <w:t xml:space="preserve">reaty on the </w:t>
      </w:r>
      <w:r w:rsidR="00B722B2" w:rsidRPr="00E55962">
        <w:rPr>
          <w:rFonts w:ascii="Aptos" w:hAnsi="Aptos"/>
        </w:rPr>
        <w:t>F</w:t>
      </w:r>
      <w:r w:rsidR="00B722B2">
        <w:rPr>
          <w:rFonts w:ascii="Aptos" w:hAnsi="Aptos"/>
        </w:rPr>
        <w:t xml:space="preserve">unctioning of the </w:t>
      </w:r>
      <w:r w:rsidRPr="00E55962">
        <w:rPr>
          <w:rFonts w:ascii="Aptos" w:hAnsi="Aptos"/>
        </w:rPr>
        <w:t xml:space="preserve">EU). The rules herein are risk-based and proportionate, and should not unduly impede data-driven innovation, legitimate commercial communications, or the scaling of European enterprises. Where several lawful bases are available, consent is not a default requirement for processing personal data; it is required only where expressly stated. Controllers and supervisory authorities shall interpret and apply </w:t>
      </w:r>
      <w:r w:rsidR="00CF0930">
        <w:rPr>
          <w:rFonts w:ascii="Aptos" w:hAnsi="Aptos"/>
        </w:rPr>
        <w:t>the GDPR</w:t>
      </w:r>
      <w:r w:rsidRPr="00E55962">
        <w:rPr>
          <w:rFonts w:ascii="Aptos" w:hAnsi="Aptos"/>
        </w:rPr>
        <w:t xml:space="preserve"> so as to strike a fair balance between these fundamental interests, avoiding unnecessary burdens that fragment the internal market.</w:t>
      </w:r>
    </w:p>
    <w:p w14:paraId="015FDABA" w14:textId="3B4127D7" w:rsidR="00293C14" w:rsidRPr="00293C14" w:rsidRDefault="00293C14" w:rsidP="00360F73">
      <w:pPr>
        <w:pStyle w:val="ListParagraph"/>
        <w:numPr>
          <w:ilvl w:val="0"/>
          <w:numId w:val="22"/>
        </w:numPr>
        <w:jc w:val="both"/>
        <w:rPr>
          <w:rFonts w:ascii="Aptos" w:hAnsi="Aptos"/>
          <w:b/>
          <w:bCs/>
          <w:color w:val="002060"/>
        </w:rPr>
      </w:pPr>
      <w:r>
        <w:rPr>
          <w:rFonts w:ascii="Aptos" w:hAnsi="Aptos"/>
          <w:b/>
          <w:bCs/>
          <w:color w:val="002060"/>
        </w:rPr>
        <w:t>A</w:t>
      </w:r>
      <w:r w:rsidR="007C0504">
        <w:rPr>
          <w:rFonts w:ascii="Aptos" w:hAnsi="Aptos"/>
          <w:b/>
          <w:bCs/>
          <w:color w:val="002060"/>
        </w:rPr>
        <w:t xml:space="preserve"> </w:t>
      </w:r>
      <w:r w:rsidR="0044665E">
        <w:rPr>
          <w:rFonts w:ascii="Aptos" w:hAnsi="Aptos"/>
          <w:b/>
          <w:bCs/>
          <w:color w:val="002060"/>
        </w:rPr>
        <w:t>practice-oriented</w:t>
      </w:r>
      <w:r w:rsidR="00A27867">
        <w:rPr>
          <w:rFonts w:ascii="Aptos" w:hAnsi="Aptos"/>
          <w:b/>
          <w:bCs/>
          <w:color w:val="002060"/>
        </w:rPr>
        <w:t xml:space="preserve"> </w:t>
      </w:r>
      <w:r w:rsidR="00ED1196">
        <w:rPr>
          <w:rFonts w:ascii="Aptos" w:hAnsi="Aptos"/>
          <w:b/>
          <w:bCs/>
          <w:color w:val="002060"/>
        </w:rPr>
        <w:t>tool</w:t>
      </w:r>
      <w:r>
        <w:rPr>
          <w:rFonts w:ascii="Aptos" w:hAnsi="Aptos"/>
          <w:b/>
          <w:bCs/>
          <w:color w:val="002060"/>
        </w:rPr>
        <w:t xml:space="preserve"> </w:t>
      </w:r>
      <w:r w:rsidR="00ED1196">
        <w:rPr>
          <w:rFonts w:ascii="Aptos" w:hAnsi="Aptos"/>
          <w:b/>
          <w:bCs/>
          <w:color w:val="002060"/>
        </w:rPr>
        <w:t xml:space="preserve">operated </w:t>
      </w:r>
      <w:r>
        <w:rPr>
          <w:rFonts w:ascii="Aptos" w:hAnsi="Aptos"/>
          <w:b/>
          <w:bCs/>
          <w:color w:val="002060"/>
        </w:rPr>
        <w:t xml:space="preserve">by the </w:t>
      </w:r>
      <w:r w:rsidR="00ED1196">
        <w:rPr>
          <w:rFonts w:ascii="Aptos" w:hAnsi="Aptos"/>
          <w:b/>
          <w:bCs/>
          <w:color w:val="002060"/>
        </w:rPr>
        <w:t xml:space="preserve">European </w:t>
      </w:r>
      <w:r>
        <w:rPr>
          <w:rFonts w:ascii="Aptos" w:hAnsi="Aptos"/>
          <w:b/>
          <w:bCs/>
          <w:color w:val="002060"/>
        </w:rPr>
        <w:t>Commission replacing</w:t>
      </w:r>
      <w:r w:rsidR="007B4B75">
        <w:rPr>
          <w:rFonts w:ascii="Aptos" w:hAnsi="Aptos"/>
          <w:b/>
          <w:bCs/>
          <w:color w:val="002060"/>
        </w:rPr>
        <w:t xml:space="preserve"> growth inhibiting</w:t>
      </w:r>
      <w:r>
        <w:rPr>
          <w:rFonts w:ascii="Aptos" w:hAnsi="Aptos"/>
          <w:b/>
          <w:bCs/>
          <w:color w:val="002060"/>
        </w:rPr>
        <w:t xml:space="preserve"> </w:t>
      </w:r>
      <w:r w:rsidR="00F3276B">
        <w:rPr>
          <w:rFonts w:ascii="Aptos" w:hAnsi="Aptos"/>
          <w:b/>
          <w:bCs/>
          <w:color w:val="002060"/>
        </w:rPr>
        <w:t xml:space="preserve">EDPB </w:t>
      </w:r>
      <w:r>
        <w:rPr>
          <w:rFonts w:ascii="Aptos" w:hAnsi="Aptos"/>
          <w:b/>
          <w:bCs/>
          <w:color w:val="002060"/>
        </w:rPr>
        <w:t>guidelines</w:t>
      </w:r>
      <w:r w:rsidR="007C0504">
        <w:rPr>
          <w:rFonts w:ascii="Aptos" w:hAnsi="Aptos"/>
          <w:b/>
          <w:bCs/>
          <w:color w:val="002060"/>
        </w:rPr>
        <w:t xml:space="preserve"> </w:t>
      </w:r>
      <w:r w:rsidR="00F3276B">
        <w:rPr>
          <w:rFonts w:ascii="Aptos" w:hAnsi="Aptos"/>
          <w:b/>
          <w:bCs/>
          <w:color w:val="002060"/>
        </w:rPr>
        <w:t>by</w:t>
      </w:r>
      <w:r w:rsidR="007C0504">
        <w:rPr>
          <w:rFonts w:ascii="Aptos" w:hAnsi="Aptos"/>
          <w:b/>
          <w:bCs/>
          <w:color w:val="002060"/>
        </w:rPr>
        <w:t xml:space="preserve"> a </w:t>
      </w:r>
      <w:r w:rsidR="0044665E">
        <w:rPr>
          <w:rFonts w:ascii="Aptos" w:hAnsi="Aptos"/>
          <w:b/>
          <w:bCs/>
          <w:color w:val="002060"/>
        </w:rPr>
        <w:t>more accessible</w:t>
      </w:r>
      <w:r w:rsidR="00F3276B">
        <w:rPr>
          <w:rFonts w:ascii="Aptos" w:hAnsi="Aptos"/>
          <w:b/>
          <w:bCs/>
          <w:color w:val="002060"/>
        </w:rPr>
        <w:t>, pragmatic</w:t>
      </w:r>
      <w:r w:rsidR="0044665E">
        <w:rPr>
          <w:rFonts w:ascii="Aptos" w:hAnsi="Aptos"/>
          <w:b/>
          <w:bCs/>
          <w:color w:val="002060"/>
        </w:rPr>
        <w:t xml:space="preserve"> and stable </w:t>
      </w:r>
      <w:r w:rsidR="00F3276B">
        <w:rPr>
          <w:rFonts w:ascii="Aptos" w:hAnsi="Aptos"/>
          <w:b/>
          <w:bCs/>
          <w:color w:val="002060"/>
        </w:rPr>
        <w:t>tool</w:t>
      </w:r>
      <w:r w:rsidR="0044665E">
        <w:rPr>
          <w:rFonts w:ascii="Aptos" w:hAnsi="Aptos"/>
          <w:b/>
          <w:bCs/>
          <w:color w:val="002060"/>
        </w:rPr>
        <w:t xml:space="preserve"> for SMEs</w:t>
      </w:r>
    </w:p>
    <w:p w14:paraId="24C98E6E" w14:textId="0BD6D757" w:rsidR="00220C9B" w:rsidRPr="007B4B75" w:rsidRDefault="00E55962" w:rsidP="00360F73">
      <w:pPr>
        <w:jc w:val="both"/>
        <w:rPr>
          <w:rFonts w:ascii="Aptos" w:hAnsi="Aptos"/>
        </w:rPr>
      </w:pPr>
      <w:r w:rsidRPr="007B4B75">
        <w:rPr>
          <w:rFonts w:ascii="Aptos" w:hAnsi="Aptos"/>
        </w:rPr>
        <w:t xml:space="preserve">Other concrete measures to achieve better application of the legislation could include limiting the </w:t>
      </w:r>
      <w:r w:rsidR="00EC05E0" w:rsidRPr="007B4B75">
        <w:rPr>
          <w:rFonts w:ascii="Aptos" w:hAnsi="Aptos"/>
        </w:rPr>
        <w:t>economic</w:t>
      </w:r>
      <w:r w:rsidR="00A27FD4" w:rsidRPr="007B4B75">
        <w:rPr>
          <w:rFonts w:ascii="Aptos" w:hAnsi="Aptos"/>
        </w:rPr>
        <w:t xml:space="preserve">ally </w:t>
      </w:r>
      <w:r w:rsidR="00EC05E0" w:rsidRPr="007B4B75">
        <w:rPr>
          <w:rFonts w:ascii="Aptos" w:hAnsi="Aptos"/>
        </w:rPr>
        <w:t xml:space="preserve">growth-limiting </w:t>
      </w:r>
      <w:r w:rsidR="005E1F93" w:rsidRPr="007B4B75">
        <w:rPr>
          <w:rFonts w:ascii="Aptos" w:hAnsi="Aptos"/>
        </w:rPr>
        <w:t xml:space="preserve">impact of the </w:t>
      </w:r>
      <w:r w:rsidRPr="007B4B75">
        <w:rPr>
          <w:rFonts w:ascii="Aptos" w:hAnsi="Aptos"/>
        </w:rPr>
        <w:t>EDPB’s mandate</w:t>
      </w:r>
      <w:r w:rsidR="00387D7E" w:rsidRPr="007B4B75">
        <w:rPr>
          <w:rFonts w:ascii="Aptos" w:hAnsi="Aptos"/>
        </w:rPr>
        <w:t xml:space="preserve"> </w:t>
      </w:r>
      <w:r w:rsidR="00EC05E0" w:rsidRPr="007B4B75">
        <w:rPr>
          <w:rFonts w:ascii="Aptos" w:hAnsi="Aptos"/>
        </w:rPr>
        <w:t>on SMEs by</w:t>
      </w:r>
      <w:r w:rsidR="00387D7E" w:rsidRPr="007B4B75">
        <w:rPr>
          <w:rFonts w:ascii="Aptos" w:hAnsi="Aptos"/>
        </w:rPr>
        <w:t xml:space="preserve"> establishing </w:t>
      </w:r>
      <w:r w:rsidR="007A0F4F" w:rsidRPr="007B4B75">
        <w:rPr>
          <w:rFonts w:ascii="Aptos" w:hAnsi="Aptos"/>
        </w:rPr>
        <w:t xml:space="preserve">an </w:t>
      </w:r>
      <w:r w:rsidR="00EC05E0" w:rsidRPr="007B4B75">
        <w:rPr>
          <w:rFonts w:ascii="Aptos" w:hAnsi="Aptos"/>
        </w:rPr>
        <w:t>economically</w:t>
      </w:r>
      <w:r w:rsidR="007A0F4F" w:rsidRPr="007B4B75">
        <w:rPr>
          <w:rFonts w:ascii="Aptos" w:hAnsi="Aptos"/>
        </w:rPr>
        <w:t xml:space="preserve"> growth-</w:t>
      </w:r>
      <w:r w:rsidR="00A27FD4" w:rsidRPr="007B4B75">
        <w:rPr>
          <w:rFonts w:ascii="Aptos" w:hAnsi="Aptos"/>
        </w:rPr>
        <w:t>stimulating</w:t>
      </w:r>
      <w:r w:rsidR="00F634A0">
        <w:rPr>
          <w:rFonts w:ascii="Aptos" w:hAnsi="Aptos"/>
        </w:rPr>
        <w:t>, pragmatic</w:t>
      </w:r>
      <w:r w:rsidR="007A0F4F" w:rsidRPr="007B4B75">
        <w:rPr>
          <w:rFonts w:ascii="Aptos" w:hAnsi="Aptos"/>
        </w:rPr>
        <w:t xml:space="preserve"> </w:t>
      </w:r>
      <w:r w:rsidR="00025B78" w:rsidRPr="007B4B75">
        <w:rPr>
          <w:rFonts w:ascii="Aptos" w:hAnsi="Aptos"/>
        </w:rPr>
        <w:t xml:space="preserve">and </w:t>
      </w:r>
      <w:r w:rsidR="001F589E" w:rsidRPr="007B4B75">
        <w:rPr>
          <w:rFonts w:ascii="Aptos" w:hAnsi="Aptos"/>
        </w:rPr>
        <w:t xml:space="preserve">reliable </w:t>
      </w:r>
      <w:r w:rsidR="00025B78" w:rsidRPr="007B4B75">
        <w:rPr>
          <w:rFonts w:ascii="Aptos" w:hAnsi="Aptos"/>
        </w:rPr>
        <w:t xml:space="preserve">tool </w:t>
      </w:r>
      <w:r w:rsidR="001F589E" w:rsidRPr="007B4B75">
        <w:rPr>
          <w:rFonts w:ascii="Aptos" w:hAnsi="Aptos"/>
        </w:rPr>
        <w:t>for SMEs</w:t>
      </w:r>
      <w:r w:rsidRPr="007B4B75">
        <w:rPr>
          <w:rFonts w:ascii="Aptos" w:hAnsi="Aptos"/>
        </w:rPr>
        <w:t xml:space="preserve">. </w:t>
      </w:r>
      <w:r w:rsidR="00220C9B" w:rsidRPr="007B4B75">
        <w:rPr>
          <w:rFonts w:ascii="Aptos" w:hAnsi="Aptos"/>
        </w:rPr>
        <w:t xml:space="preserve"> The objective of such a tool would be to create a more easily accessible</w:t>
      </w:r>
      <w:r w:rsidR="008300E6" w:rsidRPr="007B4B75">
        <w:rPr>
          <w:rFonts w:ascii="Aptos" w:hAnsi="Aptos"/>
        </w:rPr>
        <w:t xml:space="preserve"> and stable regulatory framework that </w:t>
      </w:r>
      <w:r w:rsidR="007B4B75" w:rsidRPr="007B4B75">
        <w:rPr>
          <w:rFonts w:ascii="Aptos" w:hAnsi="Aptos"/>
        </w:rPr>
        <w:t>support</w:t>
      </w:r>
      <w:r w:rsidR="008300E6" w:rsidRPr="007B4B75">
        <w:rPr>
          <w:rFonts w:ascii="Aptos" w:hAnsi="Aptos"/>
        </w:rPr>
        <w:t xml:space="preserve"> SMEs breaching the gap between the regu</w:t>
      </w:r>
      <w:r w:rsidR="000A2536" w:rsidRPr="007B4B75">
        <w:rPr>
          <w:rFonts w:ascii="Aptos" w:hAnsi="Aptos"/>
        </w:rPr>
        <w:t xml:space="preserve">latory framework and their business idea. </w:t>
      </w:r>
    </w:p>
    <w:p w14:paraId="545D21DE" w14:textId="27A4C23C" w:rsidR="00E55962" w:rsidRPr="00E55962" w:rsidRDefault="009905CA" w:rsidP="00360F73">
      <w:pPr>
        <w:jc w:val="both"/>
        <w:rPr>
          <w:rFonts w:ascii="Aptos" w:hAnsi="Aptos"/>
        </w:rPr>
      </w:pPr>
      <w:r w:rsidRPr="00A16A17">
        <w:rPr>
          <w:rFonts w:ascii="Aptos" w:hAnsi="Aptos"/>
        </w:rPr>
        <w:t>Besides, o</w:t>
      </w:r>
      <w:r w:rsidR="00E55962" w:rsidRPr="00A16A17">
        <w:rPr>
          <w:rFonts w:ascii="Aptos" w:hAnsi="Aptos"/>
        </w:rPr>
        <w:t xml:space="preserve">ther options could </w:t>
      </w:r>
      <w:r w:rsidR="00E55962" w:rsidRPr="00A16A17">
        <w:rPr>
          <w:rFonts w:ascii="Aptos" w:hAnsi="Aptos"/>
          <w:i/>
          <w:iCs/>
        </w:rPr>
        <w:t xml:space="preserve">inter alia </w:t>
      </w:r>
      <w:r w:rsidR="00E55962" w:rsidRPr="00A16A17">
        <w:rPr>
          <w:rFonts w:ascii="Aptos" w:hAnsi="Aptos"/>
        </w:rPr>
        <w:t xml:space="preserve">include new mechanisms such as </w:t>
      </w:r>
      <w:r w:rsidR="007B4B75" w:rsidRPr="00A16A17">
        <w:rPr>
          <w:rFonts w:ascii="Aptos" w:hAnsi="Aptos"/>
        </w:rPr>
        <w:t>a</w:t>
      </w:r>
      <w:r w:rsidR="0024228D" w:rsidRPr="00A16A17">
        <w:rPr>
          <w:rFonts w:ascii="Aptos" w:hAnsi="Aptos"/>
        </w:rPr>
        <w:t xml:space="preserve"> European</w:t>
      </w:r>
      <w:r w:rsidR="00E55962" w:rsidRPr="00A16A17">
        <w:rPr>
          <w:rFonts w:ascii="Aptos" w:hAnsi="Aptos"/>
        </w:rPr>
        <w:t xml:space="preserve"> Commission AI</w:t>
      </w:r>
      <w:r w:rsidR="0024228D" w:rsidRPr="00A16A17">
        <w:rPr>
          <w:rFonts w:ascii="Aptos" w:hAnsi="Aptos"/>
        </w:rPr>
        <w:t>-tool</w:t>
      </w:r>
      <w:r w:rsidR="00E55962" w:rsidRPr="00A16A17">
        <w:rPr>
          <w:rFonts w:ascii="Aptos" w:hAnsi="Aptos"/>
        </w:rPr>
        <w:t xml:space="preserve"> giving legally binding answers on how data may be used for innovation and growth </w:t>
      </w:r>
      <w:r w:rsidR="00AE4E37" w:rsidRPr="00A16A17">
        <w:rPr>
          <w:rFonts w:ascii="Aptos" w:hAnsi="Aptos"/>
        </w:rPr>
        <w:t xml:space="preserve">inhibiting </w:t>
      </w:r>
      <w:r w:rsidR="00E55962" w:rsidRPr="00A16A17">
        <w:rPr>
          <w:rFonts w:ascii="Aptos" w:hAnsi="Aptos"/>
        </w:rPr>
        <w:t>guidelines from the EDPB which are effectively inaccessible unless a company has an in-house legal department. For someone seeking to turn a business idea into reality, for start-ups or SM</w:t>
      </w:r>
      <w:r w:rsidR="00A16A17" w:rsidRPr="00A16A17">
        <w:rPr>
          <w:rFonts w:ascii="Aptos" w:hAnsi="Aptos"/>
        </w:rPr>
        <w:t>Es</w:t>
      </w:r>
      <w:r w:rsidR="00E55962" w:rsidRPr="00A16A17">
        <w:rPr>
          <w:rFonts w:ascii="Aptos" w:hAnsi="Aptos"/>
        </w:rPr>
        <w:t xml:space="preserve"> that is not an option.</w:t>
      </w:r>
      <w:r w:rsidR="00E55962" w:rsidRPr="00E55962">
        <w:rPr>
          <w:rFonts w:ascii="Aptos" w:hAnsi="Aptos"/>
        </w:rPr>
        <w:t xml:space="preserve"> </w:t>
      </w:r>
      <w:r w:rsidR="00A16A17">
        <w:rPr>
          <w:rFonts w:ascii="Aptos" w:hAnsi="Aptos"/>
        </w:rPr>
        <w:t xml:space="preserve">The Digital Omnibus is an opportunity for the European Commission to </w:t>
      </w:r>
      <w:r w:rsidR="004A2D91">
        <w:rPr>
          <w:rFonts w:ascii="Aptos" w:hAnsi="Aptos"/>
        </w:rPr>
        <w:t>show it can follow the ethical AI development trend it contributed to launch</w:t>
      </w:r>
      <w:r w:rsidR="00A52404">
        <w:rPr>
          <w:rFonts w:ascii="Aptos" w:hAnsi="Aptos"/>
        </w:rPr>
        <w:t xml:space="preserve"> and become more accessible</w:t>
      </w:r>
      <w:r w:rsidR="004A2D91">
        <w:rPr>
          <w:rFonts w:ascii="Aptos" w:hAnsi="Aptos"/>
        </w:rPr>
        <w:t xml:space="preserve"> to </w:t>
      </w:r>
      <w:r w:rsidR="009B38A1">
        <w:rPr>
          <w:rFonts w:ascii="Aptos" w:hAnsi="Aptos"/>
        </w:rPr>
        <w:t>SMEs</w:t>
      </w:r>
      <w:r w:rsidR="00A52404">
        <w:rPr>
          <w:rFonts w:ascii="Aptos" w:hAnsi="Aptos"/>
        </w:rPr>
        <w:t xml:space="preserve">. </w:t>
      </w:r>
    </w:p>
    <w:p w14:paraId="79BE6769" w14:textId="5211D80D" w:rsidR="004E09DA" w:rsidRPr="006225D3" w:rsidRDefault="00BF35F8" w:rsidP="00742BC3">
      <w:pPr>
        <w:jc w:val="both"/>
        <w:rPr>
          <w:rFonts w:ascii="Aptos" w:hAnsi="Aptos"/>
          <w:b/>
          <w:bCs/>
          <w:color w:val="00B0F0"/>
          <w:sz w:val="28"/>
          <w:szCs w:val="28"/>
        </w:rPr>
      </w:pPr>
      <w:r>
        <w:rPr>
          <w:rFonts w:ascii="Aptos" w:hAnsi="Aptos"/>
          <w:b/>
          <w:bCs/>
          <w:color w:val="00B0F0"/>
          <w:sz w:val="28"/>
          <w:szCs w:val="28"/>
        </w:rPr>
        <w:lastRenderedPageBreak/>
        <w:t>A modern</w:t>
      </w:r>
      <w:r w:rsidR="00312035">
        <w:rPr>
          <w:rFonts w:ascii="Aptos" w:hAnsi="Aptos"/>
          <w:b/>
          <w:bCs/>
          <w:color w:val="00B0F0"/>
          <w:sz w:val="28"/>
          <w:szCs w:val="28"/>
        </w:rPr>
        <w:t xml:space="preserve"> and </w:t>
      </w:r>
      <w:r>
        <w:rPr>
          <w:rFonts w:ascii="Aptos" w:hAnsi="Aptos"/>
          <w:b/>
          <w:bCs/>
          <w:color w:val="00B0F0"/>
          <w:sz w:val="28"/>
          <w:szCs w:val="28"/>
        </w:rPr>
        <w:t>simplified</w:t>
      </w:r>
      <w:r w:rsidR="004E09DA" w:rsidRPr="006225D3">
        <w:rPr>
          <w:rFonts w:ascii="Aptos" w:hAnsi="Aptos"/>
          <w:b/>
          <w:bCs/>
          <w:color w:val="00B0F0"/>
          <w:sz w:val="28"/>
          <w:szCs w:val="28"/>
        </w:rPr>
        <w:t xml:space="preserve"> EU </w:t>
      </w:r>
      <w:r w:rsidR="006225D3">
        <w:rPr>
          <w:rFonts w:ascii="Aptos" w:hAnsi="Aptos"/>
          <w:b/>
          <w:bCs/>
          <w:color w:val="00B0F0"/>
          <w:sz w:val="28"/>
          <w:szCs w:val="28"/>
        </w:rPr>
        <w:t>consent</w:t>
      </w:r>
      <w:r w:rsidR="00010E23">
        <w:rPr>
          <w:rFonts w:ascii="Aptos" w:hAnsi="Aptos"/>
          <w:b/>
          <w:bCs/>
          <w:color w:val="00B0F0"/>
          <w:sz w:val="28"/>
          <w:szCs w:val="28"/>
        </w:rPr>
        <w:t xml:space="preserve"> </w:t>
      </w:r>
      <w:r>
        <w:rPr>
          <w:rFonts w:ascii="Aptos" w:hAnsi="Aptos"/>
          <w:b/>
          <w:bCs/>
          <w:color w:val="00B0F0"/>
          <w:sz w:val="28"/>
          <w:szCs w:val="28"/>
        </w:rPr>
        <w:t>framework</w:t>
      </w:r>
      <w:r w:rsidR="006225D3">
        <w:rPr>
          <w:rFonts w:ascii="Aptos" w:hAnsi="Aptos"/>
          <w:b/>
          <w:bCs/>
          <w:color w:val="00B0F0"/>
          <w:sz w:val="28"/>
          <w:szCs w:val="28"/>
        </w:rPr>
        <w:t xml:space="preserve"> (</w:t>
      </w:r>
      <w:r>
        <w:rPr>
          <w:rFonts w:ascii="Aptos" w:hAnsi="Aptos"/>
          <w:b/>
          <w:bCs/>
          <w:color w:val="00B0F0"/>
          <w:sz w:val="28"/>
          <w:szCs w:val="28"/>
        </w:rPr>
        <w:t xml:space="preserve">incl. </w:t>
      </w:r>
      <w:r w:rsidR="006225D3">
        <w:rPr>
          <w:rFonts w:ascii="Aptos" w:hAnsi="Aptos"/>
          <w:b/>
          <w:bCs/>
          <w:color w:val="00B0F0"/>
          <w:sz w:val="28"/>
          <w:szCs w:val="28"/>
        </w:rPr>
        <w:t>GDPR</w:t>
      </w:r>
      <w:r>
        <w:rPr>
          <w:rFonts w:ascii="Aptos" w:hAnsi="Aptos"/>
          <w:b/>
          <w:bCs/>
          <w:color w:val="00B0F0"/>
          <w:sz w:val="28"/>
          <w:szCs w:val="28"/>
        </w:rPr>
        <w:t xml:space="preserve"> and </w:t>
      </w:r>
      <w:r w:rsidR="006225D3">
        <w:rPr>
          <w:rFonts w:ascii="Aptos" w:hAnsi="Aptos"/>
          <w:b/>
          <w:bCs/>
          <w:color w:val="00B0F0"/>
          <w:sz w:val="28"/>
          <w:szCs w:val="28"/>
        </w:rPr>
        <w:t>ePrivacy)</w:t>
      </w:r>
      <w:r w:rsidR="004E09DA" w:rsidRPr="006225D3">
        <w:rPr>
          <w:rFonts w:ascii="Aptos" w:hAnsi="Aptos"/>
          <w:b/>
          <w:bCs/>
          <w:color w:val="00B0F0"/>
          <w:sz w:val="28"/>
          <w:szCs w:val="28"/>
        </w:rPr>
        <w:t xml:space="preserve"> to</w:t>
      </w:r>
      <w:r w:rsidR="00F53FC6">
        <w:rPr>
          <w:rFonts w:ascii="Aptos" w:hAnsi="Aptos"/>
          <w:b/>
          <w:bCs/>
          <w:color w:val="00B0F0"/>
          <w:sz w:val="28"/>
          <w:szCs w:val="28"/>
        </w:rPr>
        <w:t xml:space="preserve"> effectively solve cookie fatigue,</w:t>
      </w:r>
      <w:r w:rsidR="004E09DA" w:rsidRPr="006225D3">
        <w:rPr>
          <w:rFonts w:ascii="Aptos" w:hAnsi="Aptos"/>
          <w:b/>
          <w:bCs/>
          <w:color w:val="00B0F0"/>
          <w:sz w:val="28"/>
          <w:szCs w:val="28"/>
        </w:rPr>
        <w:t xml:space="preserve"> empower </w:t>
      </w:r>
      <w:r w:rsidR="006225D3" w:rsidRPr="006225D3">
        <w:rPr>
          <w:rFonts w:ascii="Aptos" w:hAnsi="Aptos"/>
          <w:b/>
          <w:bCs/>
          <w:color w:val="00B0F0"/>
          <w:sz w:val="28"/>
          <w:szCs w:val="28"/>
        </w:rPr>
        <w:t xml:space="preserve">SMEs and drive </w:t>
      </w:r>
      <w:r w:rsidR="00312035">
        <w:rPr>
          <w:rFonts w:ascii="Aptos" w:hAnsi="Aptos"/>
          <w:b/>
          <w:bCs/>
          <w:color w:val="00B0F0"/>
          <w:sz w:val="28"/>
          <w:szCs w:val="28"/>
        </w:rPr>
        <w:t xml:space="preserve">European </w:t>
      </w:r>
      <w:r w:rsidR="006225D3" w:rsidRPr="006225D3">
        <w:rPr>
          <w:rFonts w:ascii="Aptos" w:hAnsi="Aptos"/>
          <w:b/>
          <w:bCs/>
          <w:color w:val="00B0F0"/>
          <w:sz w:val="28"/>
          <w:szCs w:val="28"/>
        </w:rPr>
        <w:t xml:space="preserve">economic growth </w:t>
      </w:r>
    </w:p>
    <w:p w14:paraId="361C4563" w14:textId="2DC1D983" w:rsidR="00B942D2" w:rsidRPr="00010E23" w:rsidRDefault="00010E23" w:rsidP="00010E23">
      <w:pPr>
        <w:pStyle w:val="ListParagraph"/>
        <w:numPr>
          <w:ilvl w:val="0"/>
          <w:numId w:val="15"/>
        </w:numPr>
        <w:jc w:val="both"/>
        <w:rPr>
          <w:rFonts w:ascii="Aptos" w:hAnsi="Aptos"/>
          <w:b/>
          <w:bCs/>
          <w:color w:val="002060"/>
        </w:rPr>
      </w:pPr>
      <w:r w:rsidRPr="00010E23">
        <w:rPr>
          <w:rFonts w:ascii="Aptos" w:hAnsi="Aptos"/>
          <w:b/>
          <w:bCs/>
          <w:color w:val="002060"/>
        </w:rPr>
        <w:t xml:space="preserve">Targeted amendments under Art. 88a </w:t>
      </w:r>
      <w:r>
        <w:rPr>
          <w:rFonts w:ascii="Aptos" w:hAnsi="Aptos"/>
          <w:b/>
          <w:bCs/>
          <w:color w:val="002060"/>
        </w:rPr>
        <w:t>‘amended’ GDPR</w:t>
      </w:r>
      <w:r w:rsidR="00260818">
        <w:rPr>
          <w:rFonts w:ascii="Aptos" w:hAnsi="Aptos"/>
          <w:b/>
          <w:bCs/>
          <w:color w:val="002060"/>
        </w:rPr>
        <w:t>, Arts. 5(3), 13 ePriva</w:t>
      </w:r>
      <w:r w:rsidR="00955C21">
        <w:rPr>
          <w:rFonts w:ascii="Aptos" w:hAnsi="Aptos"/>
          <w:b/>
          <w:bCs/>
          <w:color w:val="002060"/>
        </w:rPr>
        <w:t>cy Directive</w:t>
      </w:r>
      <w:r>
        <w:rPr>
          <w:rFonts w:ascii="Aptos" w:hAnsi="Aptos"/>
          <w:b/>
          <w:bCs/>
          <w:color w:val="002060"/>
        </w:rPr>
        <w:t xml:space="preserve">: </w:t>
      </w:r>
      <w:r w:rsidR="00216CF8">
        <w:rPr>
          <w:rFonts w:ascii="Aptos" w:hAnsi="Aptos"/>
          <w:b/>
          <w:bCs/>
          <w:color w:val="002060"/>
        </w:rPr>
        <w:t>avoiding</w:t>
      </w:r>
      <w:r>
        <w:rPr>
          <w:rFonts w:ascii="Aptos" w:hAnsi="Aptos"/>
          <w:b/>
          <w:bCs/>
          <w:color w:val="002060"/>
        </w:rPr>
        <w:t xml:space="preserve"> split GDPR &amp; ePrivacy regimes </w:t>
      </w:r>
    </w:p>
    <w:p w14:paraId="0E8736D3" w14:textId="5FD7BAB7" w:rsidR="00010E23" w:rsidRPr="000B32B5" w:rsidRDefault="00D31049" w:rsidP="003873FE">
      <w:pPr>
        <w:jc w:val="both"/>
        <w:rPr>
          <w:rFonts w:ascii="Aptos" w:hAnsi="Aptos"/>
          <w:b/>
          <w:bCs/>
        </w:rPr>
      </w:pPr>
      <w:r>
        <w:rPr>
          <w:rFonts w:ascii="Aptos" w:hAnsi="Aptos"/>
        </w:rPr>
        <w:t xml:space="preserve">FEDMA welcomes the </w:t>
      </w:r>
      <w:r w:rsidR="00D63A10">
        <w:rPr>
          <w:rFonts w:ascii="Aptos" w:hAnsi="Aptos"/>
        </w:rPr>
        <w:t xml:space="preserve">amendments that mirror Art. 5(3) ePrivacy Directive into </w:t>
      </w:r>
      <w:r w:rsidR="00CB1855">
        <w:rPr>
          <w:rFonts w:ascii="Aptos" w:hAnsi="Aptos"/>
        </w:rPr>
        <w:t xml:space="preserve">the new </w:t>
      </w:r>
      <w:r w:rsidR="00D63A10">
        <w:rPr>
          <w:rFonts w:ascii="Aptos" w:hAnsi="Aptos"/>
        </w:rPr>
        <w:t>Art. 88a ‘amended’ GDPR</w:t>
      </w:r>
      <w:r w:rsidR="00C85689">
        <w:rPr>
          <w:rFonts w:ascii="Aptos" w:hAnsi="Aptos"/>
        </w:rPr>
        <w:t xml:space="preserve"> an</w:t>
      </w:r>
      <w:r w:rsidR="003873FE">
        <w:rPr>
          <w:rFonts w:ascii="Aptos" w:hAnsi="Aptos"/>
        </w:rPr>
        <w:t>d</w:t>
      </w:r>
      <w:r w:rsidR="00C85689">
        <w:rPr>
          <w:rFonts w:ascii="Aptos" w:hAnsi="Aptos"/>
        </w:rPr>
        <w:t xml:space="preserve"> we are confident that this will</w:t>
      </w:r>
      <w:r w:rsidR="00CB1855">
        <w:rPr>
          <w:rFonts w:ascii="Aptos" w:hAnsi="Aptos"/>
        </w:rPr>
        <w:t xml:space="preserve"> help</w:t>
      </w:r>
      <w:r w:rsidR="00C85689">
        <w:rPr>
          <w:rFonts w:ascii="Aptos" w:hAnsi="Aptos"/>
        </w:rPr>
        <w:t xml:space="preserve"> address</w:t>
      </w:r>
      <w:r w:rsidR="00CB1855">
        <w:rPr>
          <w:rFonts w:ascii="Aptos" w:hAnsi="Aptos"/>
        </w:rPr>
        <w:t>ing</w:t>
      </w:r>
      <w:r w:rsidR="00C85689">
        <w:rPr>
          <w:rFonts w:ascii="Aptos" w:hAnsi="Aptos"/>
        </w:rPr>
        <w:t xml:space="preserve"> the </w:t>
      </w:r>
      <w:r w:rsidR="00CB1855">
        <w:rPr>
          <w:rFonts w:ascii="Aptos" w:hAnsi="Aptos"/>
        </w:rPr>
        <w:t xml:space="preserve">widespread </w:t>
      </w:r>
      <w:r w:rsidR="00C85689">
        <w:rPr>
          <w:rFonts w:ascii="Aptos" w:hAnsi="Aptos"/>
        </w:rPr>
        <w:t>cookie fatigue</w:t>
      </w:r>
      <w:r w:rsidR="00370ED9">
        <w:rPr>
          <w:rFonts w:ascii="Aptos" w:hAnsi="Aptos"/>
        </w:rPr>
        <w:t xml:space="preserve"> </w:t>
      </w:r>
      <w:r w:rsidR="00A22120">
        <w:rPr>
          <w:rFonts w:ascii="Aptos" w:hAnsi="Aptos"/>
        </w:rPr>
        <w:t xml:space="preserve">experienced by </w:t>
      </w:r>
      <w:r w:rsidR="00370ED9">
        <w:rPr>
          <w:rFonts w:ascii="Aptos" w:hAnsi="Aptos"/>
        </w:rPr>
        <w:t>users</w:t>
      </w:r>
      <w:r w:rsidR="00C85689">
        <w:rPr>
          <w:rFonts w:ascii="Aptos" w:hAnsi="Aptos"/>
        </w:rPr>
        <w:t xml:space="preserve">. </w:t>
      </w:r>
      <w:r w:rsidR="003873FE">
        <w:rPr>
          <w:rFonts w:ascii="Aptos" w:hAnsi="Aptos"/>
        </w:rPr>
        <w:t>However,</w:t>
      </w:r>
      <w:r w:rsidR="003873FE" w:rsidRPr="003873FE">
        <w:rPr>
          <w:rFonts w:ascii="Aptos" w:hAnsi="Aptos"/>
        </w:rPr>
        <w:t xml:space="preserve"> </w:t>
      </w:r>
      <w:r w:rsidR="003E5337">
        <w:rPr>
          <w:rFonts w:ascii="Aptos" w:hAnsi="Aptos"/>
        </w:rPr>
        <w:t>this amendment also requires a reassessment of</w:t>
      </w:r>
      <w:r w:rsidR="003873FE" w:rsidRPr="003873FE">
        <w:rPr>
          <w:rFonts w:ascii="Aptos" w:hAnsi="Aptos"/>
        </w:rPr>
        <w:t xml:space="preserve"> Art</w:t>
      </w:r>
      <w:r w:rsidR="003873FE">
        <w:rPr>
          <w:rFonts w:ascii="Aptos" w:hAnsi="Aptos"/>
        </w:rPr>
        <w:t>.</w:t>
      </w:r>
      <w:r w:rsidR="003873FE" w:rsidRPr="003873FE">
        <w:rPr>
          <w:rFonts w:ascii="Aptos" w:hAnsi="Aptos"/>
        </w:rPr>
        <w:t xml:space="preserve"> 5(3) ePrivacy</w:t>
      </w:r>
      <w:r w:rsidR="003873FE">
        <w:rPr>
          <w:rFonts w:ascii="Aptos" w:hAnsi="Aptos"/>
        </w:rPr>
        <w:t xml:space="preserve"> </w:t>
      </w:r>
      <w:r w:rsidR="003873FE" w:rsidRPr="003873FE">
        <w:rPr>
          <w:rFonts w:ascii="Aptos" w:hAnsi="Aptos"/>
        </w:rPr>
        <w:t>Directive</w:t>
      </w:r>
      <w:r w:rsidR="003E5337">
        <w:rPr>
          <w:rFonts w:ascii="Aptos" w:hAnsi="Aptos"/>
        </w:rPr>
        <w:t xml:space="preserve"> itself</w:t>
      </w:r>
      <w:r w:rsidR="003873FE" w:rsidRPr="003873FE">
        <w:rPr>
          <w:rFonts w:ascii="Aptos" w:hAnsi="Aptos"/>
        </w:rPr>
        <w:t xml:space="preserve">. </w:t>
      </w:r>
      <w:r w:rsidR="003E5337" w:rsidRPr="00904814">
        <w:rPr>
          <w:rFonts w:ascii="Aptos" w:hAnsi="Aptos"/>
          <w:b/>
          <w:bCs/>
        </w:rPr>
        <w:t>Given the GDPR’s clarified</w:t>
      </w:r>
      <w:r w:rsidR="003873FE" w:rsidRPr="00904814">
        <w:rPr>
          <w:rFonts w:ascii="Aptos" w:hAnsi="Aptos"/>
          <w:b/>
          <w:bCs/>
        </w:rPr>
        <w:t xml:space="preserve"> relative approach to </w:t>
      </w:r>
      <w:r w:rsidR="009C3C14" w:rsidRPr="00904814">
        <w:rPr>
          <w:rFonts w:ascii="Aptos" w:hAnsi="Aptos"/>
          <w:b/>
          <w:bCs/>
        </w:rPr>
        <w:t>personal data</w:t>
      </w:r>
      <w:r w:rsidR="003873FE" w:rsidRPr="00904814">
        <w:rPr>
          <w:rFonts w:ascii="Aptos" w:hAnsi="Aptos"/>
          <w:b/>
          <w:bCs/>
        </w:rPr>
        <w:t>,</w:t>
      </w:r>
      <w:r w:rsidR="009C3C14" w:rsidRPr="00904814">
        <w:rPr>
          <w:rStyle w:val="FootnoteReference"/>
          <w:rFonts w:ascii="Aptos" w:hAnsi="Aptos"/>
          <w:b/>
          <w:bCs/>
        </w:rPr>
        <w:footnoteReference w:id="3"/>
      </w:r>
      <w:r w:rsidR="003873FE" w:rsidRPr="00904814">
        <w:rPr>
          <w:rFonts w:ascii="Aptos" w:hAnsi="Aptos"/>
          <w:b/>
          <w:bCs/>
        </w:rPr>
        <w:t xml:space="preserve"> the </w:t>
      </w:r>
      <w:r w:rsidR="008279DD" w:rsidRPr="00904814">
        <w:rPr>
          <w:rFonts w:ascii="Aptos" w:hAnsi="Aptos"/>
          <w:b/>
          <w:bCs/>
        </w:rPr>
        <w:t>amendment</w:t>
      </w:r>
      <w:r w:rsidR="003873FE" w:rsidRPr="00904814">
        <w:rPr>
          <w:rFonts w:ascii="Aptos" w:hAnsi="Aptos"/>
          <w:b/>
          <w:bCs/>
        </w:rPr>
        <w:t xml:space="preserve"> categorises a large part of cookies as non</w:t>
      </w:r>
      <w:r w:rsidR="008279DD" w:rsidRPr="00904814">
        <w:rPr>
          <w:rFonts w:ascii="Aptos" w:hAnsi="Aptos"/>
          <w:b/>
          <w:bCs/>
        </w:rPr>
        <w:t>-</w:t>
      </w:r>
      <w:r w:rsidR="003873FE" w:rsidRPr="00904814">
        <w:rPr>
          <w:rFonts w:ascii="Aptos" w:hAnsi="Aptos"/>
          <w:b/>
          <w:bCs/>
        </w:rPr>
        <w:t>personal data for individual controllers or processors.</w:t>
      </w:r>
      <w:r w:rsidR="003873FE" w:rsidRPr="003873FE">
        <w:rPr>
          <w:rFonts w:ascii="Aptos" w:hAnsi="Aptos"/>
        </w:rPr>
        <w:t xml:space="preserve"> </w:t>
      </w:r>
      <w:r w:rsidR="00283992" w:rsidRPr="00283992">
        <w:rPr>
          <w:rFonts w:ascii="Aptos" w:hAnsi="Aptos"/>
        </w:rPr>
        <w:t>Maintaining a parallel consent regime under Art</w:t>
      </w:r>
      <w:r w:rsidR="00283992">
        <w:rPr>
          <w:rFonts w:ascii="Aptos" w:hAnsi="Aptos"/>
        </w:rPr>
        <w:t>.</w:t>
      </w:r>
      <w:r w:rsidR="00283992" w:rsidRPr="00283992">
        <w:rPr>
          <w:rFonts w:ascii="Aptos" w:hAnsi="Aptos"/>
        </w:rPr>
        <w:t xml:space="preserve"> 5(3) </w:t>
      </w:r>
      <w:r w:rsidR="00283992">
        <w:rPr>
          <w:rFonts w:ascii="Aptos" w:hAnsi="Aptos"/>
        </w:rPr>
        <w:t xml:space="preserve">ePrivacy Directive </w:t>
      </w:r>
      <w:r w:rsidR="00283992" w:rsidRPr="00283992">
        <w:rPr>
          <w:rFonts w:ascii="Aptos" w:hAnsi="Aptos"/>
        </w:rPr>
        <w:t xml:space="preserve">would therefore create unnecessary duplication and </w:t>
      </w:r>
      <w:r w:rsidR="008169E7">
        <w:rPr>
          <w:rFonts w:ascii="Aptos" w:hAnsi="Aptos"/>
        </w:rPr>
        <w:t>perpetuate</w:t>
      </w:r>
      <w:r w:rsidR="00283992" w:rsidRPr="00283992">
        <w:rPr>
          <w:rFonts w:ascii="Aptos" w:hAnsi="Aptos"/>
        </w:rPr>
        <w:t xml:space="preserve"> </w:t>
      </w:r>
      <w:r w:rsidR="00283992">
        <w:rPr>
          <w:rFonts w:ascii="Aptos" w:hAnsi="Aptos"/>
        </w:rPr>
        <w:t>cookie</w:t>
      </w:r>
      <w:r w:rsidR="00283992" w:rsidRPr="00283992">
        <w:rPr>
          <w:rFonts w:ascii="Aptos" w:hAnsi="Aptos"/>
        </w:rPr>
        <w:t xml:space="preserve"> fatigue.</w:t>
      </w:r>
      <w:r w:rsidR="00BC5FFA">
        <w:rPr>
          <w:rFonts w:ascii="Aptos" w:hAnsi="Aptos"/>
        </w:rPr>
        <w:t xml:space="preserve"> </w:t>
      </w:r>
      <w:r w:rsidR="008279DD" w:rsidRPr="000B32B5">
        <w:rPr>
          <w:rFonts w:ascii="Aptos" w:hAnsi="Aptos"/>
          <w:b/>
          <w:bCs/>
        </w:rPr>
        <w:t xml:space="preserve">We therefore propose </w:t>
      </w:r>
      <w:r w:rsidR="00C003B4" w:rsidRPr="000B32B5">
        <w:rPr>
          <w:rFonts w:ascii="Aptos" w:hAnsi="Aptos"/>
          <w:b/>
          <w:bCs/>
        </w:rPr>
        <w:t>t</w:t>
      </w:r>
      <w:r w:rsidR="003873FE" w:rsidRPr="000B32B5">
        <w:rPr>
          <w:rFonts w:ascii="Aptos" w:hAnsi="Aptos"/>
          <w:b/>
          <w:bCs/>
        </w:rPr>
        <w:t xml:space="preserve">o </w:t>
      </w:r>
      <w:r w:rsidR="005F28A0" w:rsidRPr="000B32B5">
        <w:rPr>
          <w:rFonts w:ascii="Aptos" w:hAnsi="Aptos"/>
          <w:b/>
          <w:bCs/>
        </w:rPr>
        <w:t>repeal</w:t>
      </w:r>
      <w:r w:rsidR="003873FE" w:rsidRPr="000B32B5">
        <w:rPr>
          <w:rFonts w:ascii="Aptos" w:hAnsi="Aptos"/>
          <w:b/>
          <w:bCs/>
        </w:rPr>
        <w:t xml:space="preserve"> </w:t>
      </w:r>
      <w:r w:rsidR="005F28A0" w:rsidRPr="000B32B5">
        <w:rPr>
          <w:rFonts w:ascii="Aptos" w:hAnsi="Aptos"/>
          <w:b/>
          <w:bCs/>
        </w:rPr>
        <w:t>Art.</w:t>
      </w:r>
      <w:r w:rsidR="003873FE" w:rsidRPr="000B32B5">
        <w:rPr>
          <w:rFonts w:ascii="Aptos" w:hAnsi="Aptos"/>
          <w:b/>
          <w:bCs/>
        </w:rPr>
        <w:t xml:space="preserve"> 5(3) ePrivacy Directive </w:t>
      </w:r>
      <w:r w:rsidR="005F28A0" w:rsidRPr="000B32B5">
        <w:rPr>
          <w:rFonts w:ascii="Aptos" w:hAnsi="Aptos"/>
          <w:b/>
          <w:bCs/>
        </w:rPr>
        <w:t>to</w:t>
      </w:r>
      <w:r w:rsidR="00C003B4" w:rsidRPr="000B32B5">
        <w:rPr>
          <w:rFonts w:ascii="Aptos" w:hAnsi="Aptos"/>
          <w:b/>
          <w:bCs/>
        </w:rPr>
        <w:t xml:space="preserve"> eliminate cookie fatigue all the while preserving high standards of </w:t>
      </w:r>
      <w:r w:rsidR="00C1121D" w:rsidRPr="000B32B5">
        <w:rPr>
          <w:rFonts w:ascii="Aptos" w:hAnsi="Aptos"/>
          <w:b/>
          <w:bCs/>
        </w:rPr>
        <w:t>data protection</w:t>
      </w:r>
      <w:r w:rsidR="003873FE" w:rsidRPr="000B32B5">
        <w:rPr>
          <w:rFonts w:ascii="Aptos" w:hAnsi="Aptos"/>
          <w:b/>
          <w:bCs/>
        </w:rPr>
        <w:t>.</w:t>
      </w:r>
    </w:p>
    <w:p w14:paraId="21B135AE" w14:textId="44821F47" w:rsidR="003873FE" w:rsidRDefault="00420ACF" w:rsidP="002A44FD">
      <w:pPr>
        <w:jc w:val="both"/>
        <w:rPr>
          <w:rFonts w:ascii="Aptos" w:hAnsi="Aptos"/>
        </w:rPr>
      </w:pPr>
      <w:r>
        <w:rPr>
          <w:rFonts w:ascii="Aptos" w:hAnsi="Aptos"/>
        </w:rPr>
        <w:t>Furthermore, we welcome the amendment</w:t>
      </w:r>
      <w:r w:rsidR="0089770F">
        <w:rPr>
          <w:rFonts w:ascii="Aptos" w:hAnsi="Aptos"/>
        </w:rPr>
        <w:t xml:space="preserve"> in Art. 88a(3) ‘amended’ GDPR</w:t>
      </w:r>
      <w:r>
        <w:rPr>
          <w:rFonts w:ascii="Aptos" w:hAnsi="Aptos"/>
        </w:rPr>
        <w:t xml:space="preserve"> </w:t>
      </w:r>
      <w:r w:rsidR="00C6229B" w:rsidRPr="00C6229B">
        <w:rPr>
          <w:rFonts w:ascii="Aptos" w:hAnsi="Aptos"/>
        </w:rPr>
        <w:t>which allows controllers to access, without consent, personal data already stored on terminal equipment to generate aggregated audience</w:t>
      </w:r>
      <w:r w:rsidR="00C6229B" w:rsidRPr="00C6229B">
        <w:rPr>
          <w:rFonts w:ascii="Cambria Math" w:hAnsi="Cambria Math" w:cs="Cambria Math"/>
        </w:rPr>
        <w:t>‑</w:t>
      </w:r>
      <w:r w:rsidR="00C6229B" w:rsidRPr="00C6229B">
        <w:rPr>
          <w:rFonts w:ascii="Aptos" w:hAnsi="Aptos"/>
        </w:rPr>
        <w:t>measurement information for their own online services</w:t>
      </w:r>
      <w:r w:rsidR="002A44FD">
        <w:rPr>
          <w:rFonts w:ascii="Aptos" w:hAnsi="Aptos"/>
        </w:rPr>
        <w:t xml:space="preserve">. </w:t>
      </w:r>
      <w:r w:rsidR="00C6229B">
        <w:rPr>
          <w:rFonts w:ascii="Aptos" w:hAnsi="Aptos"/>
        </w:rPr>
        <w:t xml:space="preserve"> </w:t>
      </w:r>
      <w:r w:rsidR="00237BED">
        <w:rPr>
          <w:rFonts w:ascii="Aptos" w:hAnsi="Aptos"/>
        </w:rPr>
        <w:t xml:space="preserve">This amendment </w:t>
      </w:r>
      <w:r w:rsidR="00237BED" w:rsidRPr="008F1B2F">
        <w:rPr>
          <w:rFonts w:ascii="Aptos" w:hAnsi="Aptos"/>
          <w:b/>
          <w:bCs/>
        </w:rPr>
        <w:t xml:space="preserve">increases legal certainty for </w:t>
      </w:r>
      <w:r w:rsidR="00704E75" w:rsidRPr="00704E75">
        <w:rPr>
          <w:rFonts w:ascii="Aptos" w:hAnsi="Aptos"/>
          <w:b/>
          <w:bCs/>
        </w:rPr>
        <w:t xml:space="preserve">data-driven </w:t>
      </w:r>
      <w:r w:rsidR="00237BED" w:rsidRPr="008F1B2F">
        <w:rPr>
          <w:rFonts w:ascii="Aptos" w:hAnsi="Aptos"/>
          <w:b/>
          <w:bCs/>
        </w:rPr>
        <w:t xml:space="preserve">marketeers </w:t>
      </w:r>
      <w:r w:rsidR="005C1BB0" w:rsidRPr="008F1B2F">
        <w:rPr>
          <w:rFonts w:ascii="Aptos" w:hAnsi="Aptos"/>
          <w:b/>
          <w:bCs/>
        </w:rPr>
        <w:t xml:space="preserve">all the while contributing to economic growth in the EU because it allows companies to </w:t>
      </w:r>
      <w:r w:rsidR="008F1B2F">
        <w:rPr>
          <w:rFonts w:ascii="Aptos" w:hAnsi="Aptos"/>
          <w:b/>
          <w:bCs/>
        </w:rPr>
        <w:t>gain insights in</w:t>
      </w:r>
      <w:r w:rsidR="007405DA" w:rsidRPr="008F1B2F">
        <w:rPr>
          <w:rFonts w:ascii="Aptos" w:hAnsi="Aptos"/>
          <w:b/>
          <w:bCs/>
        </w:rPr>
        <w:t xml:space="preserve"> the performance of their marketing activities.</w:t>
      </w:r>
      <w:r w:rsidR="007405DA">
        <w:rPr>
          <w:rFonts w:ascii="Aptos" w:hAnsi="Aptos"/>
        </w:rPr>
        <w:t xml:space="preserve"> </w:t>
      </w:r>
    </w:p>
    <w:p w14:paraId="12EF1ED7" w14:textId="4EF6BB89" w:rsidR="00394033" w:rsidRDefault="00080830" w:rsidP="002A44FD">
      <w:pPr>
        <w:jc w:val="both"/>
        <w:rPr>
          <w:rFonts w:ascii="Aptos" w:hAnsi="Aptos"/>
        </w:rPr>
      </w:pPr>
      <w:r w:rsidRPr="00616D33">
        <w:rPr>
          <w:rFonts w:ascii="Aptos" w:hAnsi="Aptos"/>
          <w:b/>
          <w:bCs/>
        </w:rPr>
        <w:t xml:space="preserve">FEDMA does not welcome Art. 88a(4) ‘amended’ GDPR </w:t>
      </w:r>
      <w:r w:rsidR="002206EB" w:rsidRPr="00616D33">
        <w:rPr>
          <w:rFonts w:ascii="Aptos" w:hAnsi="Aptos"/>
          <w:b/>
          <w:bCs/>
        </w:rPr>
        <w:t xml:space="preserve">as the </w:t>
      </w:r>
      <w:r w:rsidR="001147AC" w:rsidRPr="00616D33">
        <w:rPr>
          <w:rFonts w:ascii="Aptos" w:hAnsi="Aptos"/>
          <w:b/>
          <w:bCs/>
        </w:rPr>
        <w:t>amendments</w:t>
      </w:r>
      <w:r w:rsidR="002206EB" w:rsidRPr="00616D33">
        <w:rPr>
          <w:rFonts w:ascii="Aptos" w:hAnsi="Aptos"/>
          <w:b/>
          <w:bCs/>
        </w:rPr>
        <w:t xml:space="preserve"> on managing consent requests are technically challenging</w:t>
      </w:r>
      <w:r w:rsidR="002A6762">
        <w:rPr>
          <w:rFonts w:ascii="Aptos" w:hAnsi="Aptos"/>
          <w:b/>
          <w:bCs/>
        </w:rPr>
        <w:t>, deny existing soft opt-in constructions</w:t>
      </w:r>
      <w:r w:rsidR="002206EB" w:rsidRPr="00616D33">
        <w:rPr>
          <w:rFonts w:ascii="Aptos" w:hAnsi="Aptos"/>
          <w:b/>
          <w:bCs/>
        </w:rPr>
        <w:t xml:space="preserve"> and risk undermining the reliability of consent</w:t>
      </w:r>
      <w:r w:rsidR="003447F2" w:rsidRPr="00616D33">
        <w:rPr>
          <w:rFonts w:ascii="Aptos" w:hAnsi="Aptos"/>
          <w:b/>
          <w:bCs/>
        </w:rPr>
        <w:t xml:space="preserve">, </w:t>
      </w:r>
      <w:r w:rsidR="002A6762">
        <w:rPr>
          <w:rFonts w:ascii="Aptos" w:hAnsi="Aptos"/>
          <w:b/>
          <w:bCs/>
        </w:rPr>
        <w:t xml:space="preserve">the latter being </w:t>
      </w:r>
      <w:r w:rsidR="003447F2" w:rsidRPr="00616D33">
        <w:rPr>
          <w:rFonts w:ascii="Aptos" w:hAnsi="Aptos"/>
          <w:b/>
          <w:bCs/>
        </w:rPr>
        <w:t xml:space="preserve">a </w:t>
      </w:r>
      <w:r w:rsidR="001147AC" w:rsidRPr="00616D33">
        <w:rPr>
          <w:rFonts w:ascii="Aptos" w:hAnsi="Aptos"/>
          <w:b/>
          <w:bCs/>
        </w:rPr>
        <w:t>cornerstone</w:t>
      </w:r>
      <w:r w:rsidR="00A70F94" w:rsidRPr="00616D33">
        <w:rPr>
          <w:rFonts w:ascii="Aptos" w:hAnsi="Aptos"/>
          <w:b/>
          <w:bCs/>
        </w:rPr>
        <w:t xml:space="preserve"> </w:t>
      </w:r>
      <w:r w:rsidR="001147AC" w:rsidRPr="00616D33">
        <w:rPr>
          <w:rFonts w:ascii="Aptos" w:hAnsi="Aptos"/>
          <w:b/>
          <w:bCs/>
        </w:rPr>
        <w:t xml:space="preserve">of </w:t>
      </w:r>
      <w:r w:rsidR="00704E75" w:rsidRPr="00704E75">
        <w:rPr>
          <w:rFonts w:ascii="Aptos" w:hAnsi="Aptos"/>
          <w:b/>
          <w:bCs/>
        </w:rPr>
        <w:t xml:space="preserve">data-driven </w:t>
      </w:r>
      <w:r w:rsidR="001147AC" w:rsidRPr="00616D33">
        <w:rPr>
          <w:rFonts w:ascii="Aptos" w:hAnsi="Aptos"/>
          <w:b/>
          <w:bCs/>
        </w:rPr>
        <w:t>marketing activities</w:t>
      </w:r>
      <w:r w:rsidR="00A70F94" w:rsidRPr="00616D33">
        <w:rPr>
          <w:rFonts w:ascii="Aptos" w:hAnsi="Aptos"/>
          <w:b/>
          <w:bCs/>
        </w:rPr>
        <w:t>.</w:t>
      </w:r>
      <w:r w:rsidR="00A70F94">
        <w:rPr>
          <w:rFonts w:ascii="Aptos" w:hAnsi="Aptos"/>
        </w:rPr>
        <w:t xml:space="preserve"> </w:t>
      </w:r>
      <w:r w:rsidR="00822DB5" w:rsidRPr="00822DB5">
        <w:rPr>
          <w:rFonts w:ascii="Aptos" w:hAnsi="Aptos"/>
        </w:rPr>
        <w:t>The provision prohibiting new consent requests for as long as the controller can lawfully rely on existing consent</w:t>
      </w:r>
      <w:r w:rsidR="0070168D">
        <w:rPr>
          <w:rFonts w:ascii="Aptos" w:hAnsi="Aptos"/>
        </w:rPr>
        <w:t xml:space="preserve"> is technically unfeasible</w:t>
      </w:r>
      <w:r w:rsidR="00FD0671">
        <w:rPr>
          <w:rFonts w:ascii="Aptos" w:hAnsi="Aptos"/>
        </w:rPr>
        <w:t xml:space="preserve"> and is not anchoring into existing GDPR rules</w:t>
      </w:r>
      <w:r w:rsidR="00616D33">
        <w:rPr>
          <w:rFonts w:ascii="Aptos" w:hAnsi="Aptos"/>
        </w:rPr>
        <w:t>, creating legal uncertainty</w:t>
      </w:r>
      <w:r w:rsidR="00FD0671">
        <w:rPr>
          <w:rFonts w:ascii="Aptos" w:hAnsi="Aptos"/>
        </w:rPr>
        <w:t xml:space="preserve">. This prohibition </w:t>
      </w:r>
      <w:r w:rsidR="0070168D">
        <w:rPr>
          <w:rFonts w:ascii="Aptos" w:hAnsi="Aptos"/>
        </w:rPr>
        <w:t>therefore</w:t>
      </w:r>
      <w:r w:rsidR="00822DB5">
        <w:rPr>
          <w:rFonts w:ascii="Aptos" w:hAnsi="Aptos"/>
        </w:rPr>
        <w:t xml:space="preserve"> </w:t>
      </w:r>
      <w:r w:rsidR="00EF370D">
        <w:rPr>
          <w:rFonts w:ascii="Aptos" w:hAnsi="Aptos"/>
        </w:rPr>
        <w:t>needs</w:t>
      </w:r>
      <w:r w:rsidR="000B772A">
        <w:rPr>
          <w:rFonts w:ascii="Aptos" w:hAnsi="Aptos"/>
        </w:rPr>
        <w:t xml:space="preserve"> </w:t>
      </w:r>
      <w:r w:rsidR="00616D33">
        <w:rPr>
          <w:rFonts w:ascii="Aptos" w:hAnsi="Aptos"/>
        </w:rPr>
        <w:t xml:space="preserve">to </w:t>
      </w:r>
      <w:r w:rsidR="00822DB5" w:rsidRPr="00D54707">
        <w:rPr>
          <w:rFonts w:ascii="Aptos" w:hAnsi="Aptos"/>
          <w:b/>
          <w:bCs/>
        </w:rPr>
        <w:t xml:space="preserve">explicitly </w:t>
      </w:r>
      <w:r w:rsidR="001B1CA2" w:rsidRPr="00D54707">
        <w:rPr>
          <w:rFonts w:ascii="Aptos" w:hAnsi="Aptos"/>
          <w:b/>
          <w:bCs/>
        </w:rPr>
        <w:t xml:space="preserve">refer </w:t>
      </w:r>
      <w:r w:rsidR="0030221B" w:rsidRPr="00D54707">
        <w:rPr>
          <w:rFonts w:ascii="Aptos" w:hAnsi="Aptos"/>
          <w:b/>
          <w:bCs/>
        </w:rPr>
        <w:t xml:space="preserve">to </w:t>
      </w:r>
      <w:r w:rsidR="006640BA">
        <w:rPr>
          <w:rFonts w:ascii="Aptos" w:hAnsi="Aptos"/>
          <w:b/>
          <w:bCs/>
        </w:rPr>
        <w:t>Art</w:t>
      </w:r>
      <w:r w:rsidR="00616D33">
        <w:rPr>
          <w:rFonts w:ascii="Aptos" w:hAnsi="Aptos"/>
          <w:b/>
          <w:bCs/>
        </w:rPr>
        <w:t>s</w:t>
      </w:r>
      <w:r w:rsidR="006640BA">
        <w:rPr>
          <w:rFonts w:ascii="Aptos" w:hAnsi="Aptos"/>
          <w:b/>
          <w:bCs/>
        </w:rPr>
        <w:t xml:space="preserve">. 6 and 7 GDPR </w:t>
      </w:r>
      <w:r w:rsidR="008B521A">
        <w:rPr>
          <w:rFonts w:ascii="Aptos" w:hAnsi="Aptos"/>
          <w:b/>
          <w:bCs/>
        </w:rPr>
        <w:t>which enshrine the grounds for processing and consent rules</w:t>
      </w:r>
      <w:r w:rsidR="006C46CE">
        <w:rPr>
          <w:rFonts w:ascii="Aptos" w:hAnsi="Aptos"/>
          <w:b/>
          <w:bCs/>
        </w:rPr>
        <w:t>, thereby avoiding technical issues</w:t>
      </w:r>
      <w:r w:rsidR="00EE7E4C">
        <w:rPr>
          <w:rFonts w:ascii="Aptos" w:hAnsi="Aptos"/>
          <w:b/>
          <w:bCs/>
        </w:rPr>
        <w:t xml:space="preserve"> and legal uncertainty all the while guaranteeing high data protection standards</w:t>
      </w:r>
      <w:r w:rsidR="000E19E3" w:rsidRPr="00D54707">
        <w:rPr>
          <w:rFonts w:ascii="Aptos" w:hAnsi="Aptos"/>
          <w:b/>
          <w:bCs/>
        </w:rPr>
        <w:t>.</w:t>
      </w:r>
      <w:r w:rsidR="000E19E3">
        <w:rPr>
          <w:rFonts w:ascii="Aptos" w:hAnsi="Aptos"/>
        </w:rPr>
        <w:t xml:space="preserve"> </w:t>
      </w:r>
      <w:r w:rsidR="00647836">
        <w:rPr>
          <w:rFonts w:ascii="Aptos" w:hAnsi="Aptos"/>
        </w:rPr>
        <w:t xml:space="preserve">Besides, the </w:t>
      </w:r>
      <w:r w:rsidR="004D2362">
        <w:rPr>
          <w:rFonts w:ascii="Aptos" w:hAnsi="Aptos"/>
        </w:rPr>
        <w:t xml:space="preserve">six months </w:t>
      </w:r>
      <w:r w:rsidR="00647836">
        <w:rPr>
          <w:rFonts w:ascii="Aptos" w:hAnsi="Aptos"/>
        </w:rPr>
        <w:t xml:space="preserve">prohibition </w:t>
      </w:r>
      <w:r w:rsidR="004C4EBE" w:rsidRPr="004C4EBE">
        <w:rPr>
          <w:rFonts w:ascii="Aptos" w:hAnsi="Aptos"/>
        </w:rPr>
        <w:t>on re</w:t>
      </w:r>
      <w:r w:rsidR="004C4EBE" w:rsidRPr="004C4EBE">
        <w:rPr>
          <w:rFonts w:ascii="Cambria Math" w:hAnsi="Cambria Math" w:cs="Cambria Math"/>
        </w:rPr>
        <w:t>‑</w:t>
      </w:r>
      <w:r w:rsidR="004C4EBE" w:rsidRPr="004C4EBE">
        <w:rPr>
          <w:rFonts w:ascii="Aptos" w:hAnsi="Aptos"/>
        </w:rPr>
        <w:t xml:space="preserve">requesting consent after a refusal requires </w:t>
      </w:r>
      <w:r w:rsidR="004C4EBE">
        <w:rPr>
          <w:rFonts w:ascii="Aptos" w:hAnsi="Aptos"/>
        </w:rPr>
        <w:t xml:space="preserve">additional data </w:t>
      </w:r>
      <w:r w:rsidR="00667497">
        <w:rPr>
          <w:rFonts w:ascii="Aptos" w:hAnsi="Aptos"/>
        </w:rPr>
        <w:t xml:space="preserve">storage </w:t>
      </w:r>
      <w:r w:rsidR="00E31A24">
        <w:rPr>
          <w:rFonts w:ascii="Aptos" w:hAnsi="Aptos"/>
        </w:rPr>
        <w:t>and leads to te</w:t>
      </w:r>
      <w:r w:rsidR="00A46954">
        <w:rPr>
          <w:rFonts w:ascii="Aptos" w:hAnsi="Aptos"/>
        </w:rPr>
        <w:t xml:space="preserve">chnical issues. </w:t>
      </w:r>
      <w:r w:rsidR="00D54707" w:rsidRPr="00D54707">
        <w:rPr>
          <w:rFonts w:ascii="Aptos" w:hAnsi="Aptos"/>
          <w:b/>
          <w:bCs/>
        </w:rPr>
        <w:t>We therefore propose deleting this prohibition</w:t>
      </w:r>
      <w:r w:rsidR="00C539DE">
        <w:rPr>
          <w:rFonts w:ascii="Aptos" w:hAnsi="Aptos"/>
          <w:b/>
          <w:bCs/>
        </w:rPr>
        <w:t xml:space="preserve">. </w:t>
      </w:r>
      <w:r w:rsidR="00C539DE" w:rsidRPr="00403FC3">
        <w:rPr>
          <w:rFonts w:ascii="Aptos" w:hAnsi="Aptos"/>
        </w:rPr>
        <w:t>I</w:t>
      </w:r>
      <w:r w:rsidR="00D54707" w:rsidRPr="00403FC3">
        <w:rPr>
          <w:rFonts w:ascii="Aptos" w:hAnsi="Aptos"/>
        </w:rPr>
        <w:t xml:space="preserve">f </w:t>
      </w:r>
      <w:r w:rsidR="00C539DE" w:rsidRPr="00403FC3">
        <w:rPr>
          <w:rFonts w:ascii="Aptos" w:hAnsi="Aptos"/>
        </w:rPr>
        <w:t>the above proposals</w:t>
      </w:r>
      <w:r w:rsidR="00D54707" w:rsidRPr="00403FC3">
        <w:rPr>
          <w:rFonts w:ascii="Aptos" w:hAnsi="Aptos"/>
        </w:rPr>
        <w:t xml:space="preserve"> </w:t>
      </w:r>
      <w:r w:rsidR="00C539DE" w:rsidRPr="00403FC3">
        <w:rPr>
          <w:rFonts w:ascii="Aptos" w:hAnsi="Aptos"/>
        </w:rPr>
        <w:t>are</w:t>
      </w:r>
      <w:r w:rsidR="00D54707" w:rsidRPr="00403FC3">
        <w:rPr>
          <w:rFonts w:ascii="Aptos" w:hAnsi="Aptos"/>
        </w:rPr>
        <w:t xml:space="preserve"> not feasible,</w:t>
      </w:r>
      <w:r w:rsidR="00D54707" w:rsidRPr="00D54707">
        <w:rPr>
          <w:rFonts w:ascii="Aptos" w:hAnsi="Aptos"/>
        </w:rPr>
        <w:t xml:space="preserve"> the application deadline for this </w:t>
      </w:r>
      <w:r w:rsidR="00C539DE">
        <w:rPr>
          <w:rFonts w:ascii="Aptos" w:hAnsi="Aptos"/>
        </w:rPr>
        <w:t>provision</w:t>
      </w:r>
      <w:r w:rsidR="00D54707" w:rsidRPr="00D54707">
        <w:rPr>
          <w:rFonts w:ascii="Aptos" w:hAnsi="Aptos"/>
        </w:rPr>
        <w:t xml:space="preserve"> should be extended from six to twelve months after the entry into force of the Omnibus Regulation.</w:t>
      </w:r>
    </w:p>
    <w:p w14:paraId="33913CE9" w14:textId="19F34582" w:rsidR="00E14061" w:rsidRDefault="00E61BBF" w:rsidP="002A44FD">
      <w:pPr>
        <w:jc w:val="both"/>
        <w:rPr>
          <w:rFonts w:ascii="Aptos" w:hAnsi="Aptos"/>
        </w:rPr>
      </w:pPr>
      <w:r>
        <w:rPr>
          <w:rFonts w:ascii="Aptos" w:hAnsi="Aptos"/>
        </w:rPr>
        <w:t xml:space="preserve">Clear and consistent rules on direct marketing empower companies, particularly SMEs, to </w:t>
      </w:r>
      <w:r w:rsidR="001E5A4B">
        <w:rPr>
          <w:rFonts w:ascii="Aptos" w:hAnsi="Aptos"/>
        </w:rPr>
        <w:t xml:space="preserve">reach customers efficiently across borders, support sustainable revenue models for </w:t>
      </w:r>
      <w:r w:rsidR="00704E75" w:rsidRPr="00704E75">
        <w:rPr>
          <w:rFonts w:ascii="Aptos" w:hAnsi="Aptos"/>
        </w:rPr>
        <w:t>data-driven</w:t>
      </w:r>
      <w:r w:rsidR="001E5A4B">
        <w:rPr>
          <w:rFonts w:ascii="Aptos" w:hAnsi="Aptos"/>
        </w:rPr>
        <w:t xml:space="preserve"> marketing services</w:t>
      </w:r>
      <w:r w:rsidR="00E45360">
        <w:rPr>
          <w:rFonts w:ascii="Aptos" w:hAnsi="Aptos"/>
        </w:rPr>
        <w:t xml:space="preserve">, </w:t>
      </w:r>
      <w:r w:rsidR="001E5A4B">
        <w:rPr>
          <w:rFonts w:ascii="Aptos" w:hAnsi="Aptos"/>
        </w:rPr>
        <w:t>foster innovation in the sector</w:t>
      </w:r>
      <w:r w:rsidR="00E45360">
        <w:rPr>
          <w:rFonts w:ascii="Aptos" w:hAnsi="Aptos"/>
        </w:rPr>
        <w:t xml:space="preserve"> a.o. by lowering </w:t>
      </w:r>
      <w:r w:rsidR="00684A4D">
        <w:rPr>
          <w:rFonts w:ascii="Aptos" w:hAnsi="Aptos"/>
        </w:rPr>
        <w:t>compliance costs</w:t>
      </w:r>
      <w:r w:rsidR="001E5A4B">
        <w:rPr>
          <w:rFonts w:ascii="Aptos" w:hAnsi="Aptos"/>
        </w:rPr>
        <w:t xml:space="preserve">, making </w:t>
      </w:r>
      <w:r w:rsidR="00312035">
        <w:rPr>
          <w:rFonts w:ascii="Aptos" w:hAnsi="Aptos"/>
        </w:rPr>
        <w:t xml:space="preserve">the </w:t>
      </w:r>
      <w:r w:rsidR="00704E75" w:rsidRPr="00704E75">
        <w:rPr>
          <w:rFonts w:ascii="Aptos" w:hAnsi="Aptos"/>
        </w:rPr>
        <w:t xml:space="preserve">data-driven </w:t>
      </w:r>
      <w:r w:rsidR="00312035">
        <w:rPr>
          <w:rFonts w:ascii="Aptos" w:hAnsi="Aptos"/>
        </w:rPr>
        <w:t>marketing</w:t>
      </w:r>
      <w:r w:rsidR="001E5A4B">
        <w:rPr>
          <w:rFonts w:ascii="Aptos" w:hAnsi="Aptos"/>
        </w:rPr>
        <w:t xml:space="preserve"> sector </w:t>
      </w:r>
      <w:r w:rsidR="0088506E">
        <w:rPr>
          <w:rFonts w:ascii="Aptos" w:hAnsi="Aptos"/>
        </w:rPr>
        <w:t>(</w:t>
      </w:r>
      <w:r w:rsidR="001E5A4B">
        <w:rPr>
          <w:rFonts w:ascii="Aptos" w:hAnsi="Aptos"/>
        </w:rPr>
        <w:t>also globally</w:t>
      </w:r>
      <w:r w:rsidR="0088506E">
        <w:rPr>
          <w:rFonts w:ascii="Aptos" w:hAnsi="Aptos"/>
        </w:rPr>
        <w:t>)</w:t>
      </w:r>
      <w:r w:rsidR="001E5A4B">
        <w:rPr>
          <w:rFonts w:ascii="Aptos" w:hAnsi="Aptos"/>
        </w:rPr>
        <w:t xml:space="preserve"> more competitive. </w:t>
      </w:r>
      <w:r w:rsidR="001E06B2">
        <w:rPr>
          <w:rFonts w:ascii="Aptos" w:hAnsi="Aptos"/>
        </w:rPr>
        <w:t>Therefore, b</w:t>
      </w:r>
      <w:r w:rsidR="00F95516" w:rsidRPr="00F95516">
        <w:rPr>
          <w:rFonts w:ascii="Aptos" w:hAnsi="Aptos"/>
        </w:rPr>
        <w:t xml:space="preserve">eyond the </w:t>
      </w:r>
      <w:r w:rsidR="00F95516" w:rsidRPr="00F95516">
        <w:rPr>
          <w:rFonts w:ascii="Aptos" w:hAnsi="Aptos"/>
        </w:rPr>
        <w:lastRenderedPageBreak/>
        <w:t xml:space="preserve">amendments in the Digital Omnibus, </w:t>
      </w:r>
      <w:r w:rsidR="00F95516" w:rsidRPr="005F1287">
        <w:rPr>
          <w:rFonts w:ascii="Aptos" w:hAnsi="Aptos"/>
          <w:b/>
          <w:bCs/>
        </w:rPr>
        <w:t xml:space="preserve">FEDMA urges the European Commission to modernise and </w:t>
      </w:r>
      <w:r w:rsidR="002959BC">
        <w:rPr>
          <w:rFonts w:ascii="Aptos" w:hAnsi="Aptos"/>
          <w:b/>
          <w:bCs/>
        </w:rPr>
        <w:t xml:space="preserve">harmonise the interpretation </w:t>
      </w:r>
      <w:r w:rsidR="00C46393">
        <w:rPr>
          <w:rFonts w:ascii="Aptos" w:hAnsi="Aptos"/>
          <w:b/>
          <w:bCs/>
        </w:rPr>
        <w:t>of</w:t>
      </w:r>
      <w:r w:rsidR="00F95516" w:rsidRPr="005F1287">
        <w:rPr>
          <w:rFonts w:ascii="Aptos" w:hAnsi="Aptos"/>
          <w:b/>
          <w:bCs/>
        </w:rPr>
        <w:t xml:space="preserve"> the ePrivacy Directive in a more comprehensive </w:t>
      </w:r>
      <w:r w:rsidR="005F1287">
        <w:rPr>
          <w:rFonts w:ascii="Aptos" w:hAnsi="Aptos"/>
          <w:b/>
          <w:bCs/>
        </w:rPr>
        <w:t>way</w:t>
      </w:r>
      <w:r w:rsidR="00F95516">
        <w:rPr>
          <w:rFonts w:ascii="Aptos" w:hAnsi="Aptos"/>
        </w:rPr>
        <w:t xml:space="preserve"> </w:t>
      </w:r>
      <w:r w:rsidR="005F1287">
        <w:rPr>
          <w:rFonts w:ascii="Aptos" w:hAnsi="Aptos"/>
        </w:rPr>
        <w:t>by adding the following amendments to the Digital Omnibus</w:t>
      </w:r>
      <w:r w:rsidR="00F95516">
        <w:rPr>
          <w:rFonts w:ascii="Aptos" w:hAnsi="Aptos"/>
        </w:rPr>
        <w:t>:</w:t>
      </w:r>
    </w:p>
    <w:p w14:paraId="2F725043" w14:textId="51F83CEE" w:rsidR="00F95516" w:rsidRPr="00E340C6" w:rsidRDefault="00206343" w:rsidP="00E40430">
      <w:pPr>
        <w:pStyle w:val="ListParagraph"/>
        <w:numPr>
          <w:ilvl w:val="0"/>
          <w:numId w:val="19"/>
        </w:numPr>
        <w:jc w:val="both"/>
        <w:rPr>
          <w:rFonts w:ascii="Aptos" w:hAnsi="Aptos"/>
        </w:rPr>
      </w:pPr>
      <w:r w:rsidRPr="00206343">
        <w:rPr>
          <w:rFonts w:ascii="Aptos" w:hAnsi="Aptos"/>
        </w:rPr>
        <w:t xml:space="preserve">Art. 13(2) ePrivacy Directive </w:t>
      </w:r>
      <w:r>
        <w:rPr>
          <w:rFonts w:ascii="Aptos" w:hAnsi="Aptos"/>
        </w:rPr>
        <w:t>does not currently reflect</w:t>
      </w:r>
      <w:r w:rsidR="004A16A7">
        <w:rPr>
          <w:rFonts w:ascii="Aptos" w:hAnsi="Aptos"/>
        </w:rPr>
        <w:t xml:space="preserve"> operational elements of digital business models, </w:t>
      </w:r>
      <w:r w:rsidR="00A07CF7">
        <w:rPr>
          <w:rFonts w:ascii="Aptos" w:hAnsi="Aptos"/>
        </w:rPr>
        <w:t xml:space="preserve">and divergent interpretations of the provision led to fragmentation across Member States. </w:t>
      </w:r>
      <w:r w:rsidR="009E31C6" w:rsidRPr="00E40430">
        <w:rPr>
          <w:rFonts w:ascii="Aptos" w:hAnsi="Aptos"/>
        </w:rPr>
        <w:t xml:space="preserve">FEDMA </w:t>
      </w:r>
      <w:r w:rsidR="00A07CF7">
        <w:rPr>
          <w:rFonts w:ascii="Aptos" w:hAnsi="Aptos"/>
        </w:rPr>
        <w:t xml:space="preserve">therefore </w:t>
      </w:r>
      <w:r w:rsidR="009E31C6" w:rsidRPr="00E40430">
        <w:rPr>
          <w:rFonts w:ascii="Aptos" w:hAnsi="Aptos"/>
        </w:rPr>
        <w:t xml:space="preserve">recommends codifying the ruling in the recent Inteligo case </w:t>
      </w:r>
      <w:r w:rsidR="0091481C" w:rsidRPr="00E40430">
        <w:rPr>
          <w:rFonts w:ascii="Aptos" w:hAnsi="Aptos"/>
        </w:rPr>
        <w:t xml:space="preserve">in which the European Court of Justice </w:t>
      </w:r>
      <w:r w:rsidR="001D069F">
        <w:rPr>
          <w:rFonts w:ascii="Aptos" w:hAnsi="Aptos"/>
        </w:rPr>
        <w:t>confirmed</w:t>
      </w:r>
      <w:r w:rsidR="0091481C" w:rsidRPr="00E40430">
        <w:rPr>
          <w:rFonts w:ascii="Aptos" w:hAnsi="Aptos"/>
        </w:rPr>
        <w:t xml:space="preserve"> that </w:t>
      </w:r>
      <w:r w:rsidR="000B7772" w:rsidRPr="00E40430">
        <w:rPr>
          <w:rFonts w:ascii="Aptos" w:hAnsi="Aptos"/>
        </w:rPr>
        <w:t>free accounts and newsletters embedded in a business model designed to drive paid subscriptions amount to a “sale”.</w:t>
      </w:r>
      <w:r w:rsidR="000B7772">
        <w:rPr>
          <w:rStyle w:val="FootnoteReference"/>
          <w:rFonts w:ascii="Aptos" w:hAnsi="Aptos"/>
        </w:rPr>
        <w:footnoteReference w:id="4"/>
      </w:r>
      <w:r w:rsidR="000B7772" w:rsidRPr="00E40430">
        <w:rPr>
          <w:rFonts w:ascii="Aptos" w:hAnsi="Aptos"/>
        </w:rPr>
        <w:t xml:space="preserve"> </w:t>
      </w:r>
      <w:r w:rsidR="004C3686" w:rsidRPr="007243BD">
        <w:rPr>
          <w:rFonts w:ascii="Aptos" w:hAnsi="Aptos"/>
          <w:b/>
          <w:bCs/>
        </w:rPr>
        <w:t>To ensure legal certainty and a coherent interpretation of the provision</w:t>
      </w:r>
      <w:r w:rsidR="00DF40AB" w:rsidRPr="007243BD">
        <w:rPr>
          <w:rFonts w:ascii="Aptos" w:hAnsi="Aptos"/>
          <w:b/>
          <w:bCs/>
        </w:rPr>
        <w:t xml:space="preserve">, Art. 13(2) ePrivacy </w:t>
      </w:r>
      <w:r w:rsidR="004C3686" w:rsidRPr="007243BD">
        <w:rPr>
          <w:rFonts w:ascii="Aptos" w:hAnsi="Aptos"/>
          <w:b/>
          <w:bCs/>
        </w:rPr>
        <w:t xml:space="preserve">Directive </w:t>
      </w:r>
      <w:r w:rsidR="00DF40AB" w:rsidRPr="007243BD">
        <w:rPr>
          <w:rFonts w:ascii="Aptos" w:hAnsi="Aptos"/>
          <w:b/>
          <w:bCs/>
        </w:rPr>
        <w:t xml:space="preserve">should explicitly describe </w:t>
      </w:r>
      <w:r w:rsidR="00FE6F17" w:rsidRPr="007243BD">
        <w:rPr>
          <w:rFonts w:ascii="Aptos" w:hAnsi="Aptos"/>
          <w:b/>
          <w:bCs/>
        </w:rPr>
        <w:t xml:space="preserve">‘the sale of a product or service’ by specifying that it includes ‘those provided without payment’. </w:t>
      </w:r>
      <w:r w:rsidR="00D3033C">
        <w:rPr>
          <w:rFonts w:ascii="Aptos" w:hAnsi="Aptos"/>
          <w:b/>
          <w:bCs/>
        </w:rPr>
        <w:t xml:space="preserve">The </w:t>
      </w:r>
      <w:r w:rsidR="008569BB">
        <w:rPr>
          <w:rFonts w:ascii="Aptos" w:hAnsi="Aptos"/>
          <w:b/>
          <w:bCs/>
        </w:rPr>
        <w:t xml:space="preserve">consistency and </w:t>
      </w:r>
      <w:r w:rsidR="00D3033C">
        <w:rPr>
          <w:rFonts w:ascii="Aptos" w:hAnsi="Aptos"/>
          <w:b/>
          <w:bCs/>
        </w:rPr>
        <w:t>legal certainty will reduce legal risks for SMEs</w:t>
      </w:r>
      <w:r w:rsidR="00E033C3">
        <w:rPr>
          <w:rFonts w:ascii="Aptos" w:hAnsi="Aptos"/>
          <w:b/>
          <w:bCs/>
        </w:rPr>
        <w:t xml:space="preserve"> and innovation barriers</w:t>
      </w:r>
      <w:r w:rsidR="0091459E">
        <w:rPr>
          <w:rFonts w:ascii="Aptos" w:hAnsi="Aptos"/>
          <w:b/>
          <w:bCs/>
        </w:rPr>
        <w:t>, which will eventually stimulate European economic growth</w:t>
      </w:r>
      <w:r w:rsidR="00064F4D">
        <w:rPr>
          <w:rFonts w:ascii="Aptos" w:hAnsi="Aptos"/>
          <w:b/>
          <w:bCs/>
        </w:rPr>
        <w:t xml:space="preserve">. </w:t>
      </w:r>
    </w:p>
    <w:p w14:paraId="50F98A87" w14:textId="78692074" w:rsidR="00E340C6" w:rsidRDefault="00F90512" w:rsidP="00E40430">
      <w:pPr>
        <w:pStyle w:val="ListParagraph"/>
        <w:numPr>
          <w:ilvl w:val="0"/>
          <w:numId w:val="19"/>
        </w:numPr>
        <w:jc w:val="both"/>
        <w:rPr>
          <w:rFonts w:ascii="Aptos" w:hAnsi="Aptos"/>
        </w:rPr>
      </w:pPr>
      <w:r>
        <w:rPr>
          <w:rFonts w:ascii="Aptos" w:hAnsi="Aptos"/>
        </w:rPr>
        <w:t xml:space="preserve">Furthermore, the current wording in </w:t>
      </w:r>
      <w:r w:rsidRPr="00F90512">
        <w:rPr>
          <w:rFonts w:ascii="Aptos" w:hAnsi="Aptos"/>
        </w:rPr>
        <w:t>Art. 13(2) ePrivacy Directive</w:t>
      </w:r>
      <w:r>
        <w:rPr>
          <w:rFonts w:ascii="Aptos" w:hAnsi="Aptos"/>
        </w:rPr>
        <w:t xml:space="preserve"> </w:t>
      </w:r>
      <w:r w:rsidR="00643CBF">
        <w:rPr>
          <w:rFonts w:ascii="Aptos" w:hAnsi="Aptos"/>
        </w:rPr>
        <w:t xml:space="preserve">is not seamlessly aligned with the GDPR’s standards on informed consent and the right to object. </w:t>
      </w:r>
      <w:r w:rsidR="00C36A8D" w:rsidRPr="00E92EC5">
        <w:rPr>
          <w:rFonts w:ascii="Aptos" w:hAnsi="Aptos"/>
          <w:b/>
          <w:bCs/>
        </w:rPr>
        <w:t xml:space="preserve">To modernize the ePrivacy Directive, </w:t>
      </w:r>
      <w:r w:rsidR="00E92EC5" w:rsidRPr="00E92EC5">
        <w:rPr>
          <w:rFonts w:ascii="Aptos" w:hAnsi="Aptos"/>
          <w:b/>
          <w:bCs/>
        </w:rPr>
        <w:t xml:space="preserve">strengthen transparency </w:t>
      </w:r>
      <w:r w:rsidR="00C36A8D" w:rsidRPr="00E92EC5">
        <w:rPr>
          <w:rFonts w:ascii="Aptos" w:hAnsi="Aptos"/>
          <w:b/>
          <w:bCs/>
        </w:rPr>
        <w:t>and to align</w:t>
      </w:r>
      <w:r w:rsidR="008E2978" w:rsidRPr="00E92EC5">
        <w:rPr>
          <w:rFonts w:ascii="Aptos" w:hAnsi="Aptos"/>
          <w:b/>
          <w:bCs/>
        </w:rPr>
        <w:t xml:space="preserve"> the current</w:t>
      </w:r>
      <w:r w:rsidR="00C36A8D" w:rsidRPr="00E92EC5">
        <w:rPr>
          <w:rFonts w:ascii="Aptos" w:hAnsi="Aptos"/>
          <w:b/>
          <w:bCs/>
        </w:rPr>
        <w:t xml:space="preserve"> </w:t>
      </w:r>
      <w:r w:rsidR="008E2978" w:rsidRPr="00E92EC5">
        <w:rPr>
          <w:rFonts w:ascii="Aptos" w:hAnsi="Aptos"/>
          <w:b/>
          <w:bCs/>
        </w:rPr>
        <w:t xml:space="preserve">interpretative fragmentation across Members States, FEDMA urges the </w:t>
      </w:r>
      <w:r w:rsidR="00E86082" w:rsidRPr="00E92EC5">
        <w:rPr>
          <w:rFonts w:ascii="Aptos" w:hAnsi="Aptos"/>
          <w:b/>
          <w:bCs/>
        </w:rPr>
        <w:t>following amendment:</w:t>
      </w:r>
      <w:r w:rsidR="00E86082">
        <w:rPr>
          <w:rFonts w:ascii="Aptos" w:hAnsi="Aptos"/>
        </w:rPr>
        <w:t xml:space="preserve"> </w:t>
      </w:r>
    </w:p>
    <w:p w14:paraId="78134B1C" w14:textId="457AF990" w:rsidR="00E86082" w:rsidRDefault="00E86082" w:rsidP="00E86082">
      <w:pPr>
        <w:pStyle w:val="ListParagraph"/>
        <w:numPr>
          <w:ilvl w:val="1"/>
          <w:numId w:val="19"/>
        </w:numPr>
        <w:jc w:val="both"/>
        <w:rPr>
          <w:rFonts w:ascii="Aptos" w:hAnsi="Aptos"/>
        </w:rPr>
      </w:pPr>
      <w:r>
        <w:rPr>
          <w:rFonts w:ascii="Aptos" w:hAnsi="Aptos"/>
        </w:rPr>
        <w:t xml:space="preserve">The deletion </w:t>
      </w:r>
      <w:r w:rsidR="00E902D9">
        <w:rPr>
          <w:rFonts w:ascii="Aptos" w:hAnsi="Aptos"/>
        </w:rPr>
        <w:t xml:space="preserve">and replacement </w:t>
      </w:r>
      <w:r>
        <w:rPr>
          <w:rFonts w:ascii="Aptos" w:hAnsi="Aptos"/>
        </w:rPr>
        <w:t>of: ‘</w:t>
      </w:r>
      <w:r w:rsidRPr="00E86082">
        <w:rPr>
          <w:rFonts w:ascii="Aptos" w:hAnsi="Aptos"/>
        </w:rPr>
        <w:t>provided that customers clearly and distinctly are given the opportunity to object, free of charge and in an easy manner, to such use of electronic contact details at the time of their collection</w:t>
      </w:r>
      <w:r>
        <w:rPr>
          <w:rFonts w:ascii="Aptos" w:hAnsi="Aptos"/>
        </w:rPr>
        <w:t>’</w:t>
      </w:r>
      <w:r w:rsidR="00E902D9">
        <w:rPr>
          <w:rFonts w:ascii="Aptos" w:hAnsi="Aptos"/>
        </w:rPr>
        <w:t xml:space="preserve"> </w:t>
      </w:r>
    </w:p>
    <w:p w14:paraId="38B9E171" w14:textId="5D2F3DF7" w:rsidR="00E902D9" w:rsidRPr="00B54F07" w:rsidRDefault="00E92EC5" w:rsidP="00E86082">
      <w:pPr>
        <w:pStyle w:val="ListParagraph"/>
        <w:numPr>
          <w:ilvl w:val="1"/>
          <w:numId w:val="19"/>
        </w:numPr>
        <w:jc w:val="both"/>
        <w:rPr>
          <w:rFonts w:ascii="Aptos" w:hAnsi="Aptos"/>
        </w:rPr>
      </w:pPr>
      <w:r>
        <w:rPr>
          <w:rFonts w:ascii="Aptos" w:hAnsi="Aptos"/>
        </w:rPr>
        <w:t>By : ‘</w:t>
      </w:r>
      <w:r w:rsidRPr="00E92EC5">
        <w:rPr>
          <w:rFonts w:ascii="Aptos" w:hAnsi="Aptos"/>
        </w:rPr>
        <w:t>provided that customers are informed, in a clear, concise and intelligible manner, at the time their electronic contact details are obtained, of the intended use for direct marketing of the sender’s own similar products or services, and provided that each direct marketing message includes a free-of-charge and easy-to-use means to object, effective without undue delay</w:t>
      </w:r>
      <w:r>
        <w:rPr>
          <w:rFonts w:ascii="Aptos" w:hAnsi="Aptos"/>
        </w:rPr>
        <w:t xml:space="preserve">’. </w:t>
      </w:r>
    </w:p>
    <w:p w14:paraId="64AFE178" w14:textId="4E8289F0" w:rsidR="00B54F07" w:rsidRDefault="005112BB" w:rsidP="00E40430">
      <w:pPr>
        <w:pStyle w:val="ListParagraph"/>
        <w:numPr>
          <w:ilvl w:val="0"/>
          <w:numId w:val="19"/>
        </w:numPr>
        <w:jc w:val="both"/>
        <w:rPr>
          <w:rFonts w:ascii="Aptos" w:hAnsi="Aptos"/>
        </w:rPr>
      </w:pPr>
      <w:r>
        <w:rPr>
          <w:rFonts w:ascii="Aptos" w:hAnsi="Aptos"/>
        </w:rPr>
        <w:t xml:space="preserve">Moreover, </w:t>
      </w:r>
      <w:r w:rsidR="003D1D81" w:rsidRPr="003D1D81">
        <w:rPr>
          <w:rFonts w:ascii="Aptos" w:hAnsi="Aptos"/>
        </w:rPr>
        <w:t>Art. 13(2) ePrivacy Directive</w:t>
      </w:r>
      <w:r w:rsidR="003D1D81">
        <w:rPr>
          <w:rFonts w:ascii="Aptos" w:hAnsi="Aptos"/>
        </w:rPr>
        <w:t xml:space="preserve"> refers to Directive 95/46/EC, </w:t>
      </w:r>
      <w:r w:rsidR="0003329E">
        <w:rPr>
          <w:rFonts w:ascii="Aptos" w:hAnsi="Aptos"/>
        </w:rPr>
        <w:t xml:space="preserve">which should be replaced by a reference to the GDPR </w:t>
      </w:r>
      <w:r w:rsidR="0003329E" w:rsidRPr="006C6EF6">
        <w:rPr>
          <w:rFonts w:ascii="Aptos" w:hAnsi="Aptos"/>
          <w:b/>
          <w:bCs/>
        </w:rPr>
        <w:t xml:space="preserve">to reflect the </w:t>
      </w:r>
      <w:r w:rsidR="003B76F1" w:rsidRPr="006C6EF6">
        <w:rPr>
          <w:rFonts w:ascii="Aptos" w:hAnsi="Aptos"/>
          <w:b/>
          <w:bCs/>
        </w:rPr>
        <w:t>existing legal framework</w:t>
      </w:r>
      <w:r w:rsidR="003B76F1">
        <w:rPr>
          <w:rFonts w:ascii="Aptos" w:hAnsi="Aptos"/>
        </w:rPr>
        <w:t xml:space="preserve"> on the matter. </w:t>
      </w:r>
    </w:p>
    <w:p w14:paraId="6CB3E0FB" w14:textId="35D59FA2" w:rsidR="00E40430" w:rsidRPr="003F7F57" w:rsidRDefault="00D37A26" w:rsidP="002A44FD">
      <w:pPr>
        <w:pStyle w:val="ListParagraph"/>
        <w:numPr>
          <w:ilvl w:val="0"/>
          <w:numId w:val="19"/>
        </w:numPr>
        <w:jc w:val="both"/>
        <w:rPr>
          <w:rFonts w:ascii="Aptos" w:hAnsi="Aptos"/>
        </w:rPr>
      </w:pPr>
      <w:r w:rsidRPr="003F7F57">
        <w:rPr>
          <w:rFonts w:ascii="Aptos" w:hAnsi="Aptos"/>
        </w:rPr>
        <w:t>Art. 13(</w:t>
      </w:r>
      <w:r w:rsidR="002B4207" w:rsidRPr="003F7F57">
        <w:rPr>
          <w:rFonts w:ascii="Aptos" w:hAnsi="Aptos"/>
        </w:rPr>
        <w:t>3</w:t>
      </w:r>
      <w:r w:rsidRPr="003F7F57">
        <w:rPr>
          <w:rFonts w:ascii="Aptos" w:hAnsi="Aptos"/>
        </w:rPr>
        <w:t>)</w:t>
      </w:r>
      <w:r w:rsidR="00F037E0" w:rsidRPr="003F7F57">
        <w:t xml:space="preserve"> </w:t>
      </w:r>
      <w:r w:rsidR="00F037E0" w:rsidRPr="003F7F57">
        <w:rPr>
          <w:rFonts w:ascii="Aptos" w:hAnsi="Aptos"/>
        </w:rPr>
        <w:t xml:space="preserve">ePrivacy Directive </w:t>
      </w:r>
      <w:r w:rsidR="00E9752A" w:rsidRPr="003F7F57">
        <w:rPr>
          <w:rFonts w:ascii="Aptos" w:hAnsi="Aptos"/>
        </w:rPr>
        <w:t xml:space="preserve">resulted in significant </w:t>
      </w:r>
      <w:r w:rsidR="0001450E" w:rsidRPr="003F7F57">
        <w:rPr>
          <w:rFonts w:ascii="Aptos" w:hAnsi="Aptos"/>
        </w:rPr>
        <w:t xml:space="preserve">legal fragmentation </w:t>
      </w:r>
      <w:r w:rsidR="005060ED" w:rsidRPr="003F7F57">
        <w:rPr>
          <w:rFonts w:ascii="Aptos" w:hAnsi="Aptos"/>
        </w:rPr>
        <w:t>across</w:t>
      </w:r>
      <w:r w:rsidR="00973077" w:rsidRPr="003F7F57">
        <w:rPr>
          <w:rFonts w:ascii="Aptos" w:hAnsi="Aptos"/>
        </w:rPr>
        <w:t xml:space="preserve"> Member States, </w:t>
      </w:r>
      <w:r w:rsidR="002F27CA" w:rsidRPr="003F7F57">
        <w:rPr>
          <w:rFonts w:ascii="Aptos" w:hAnsi="Aptos"/>
        </w:rPr>
        <w:t>creating barriers to cross</w:t>
      </w:r>
      <w:r w:rsidR="002F27CA" w:rsidRPr="003F7F57">
        <w:rPr>
          <w:rFonts w:ascii="Cambria Math" w:hAnsi="Cambria Math" w:cs="Cambria Math"/>
        </w:rPr>
        <w:t>‑</w:t>
      </w:r>
      <w:r w:rsidR="002F27CA" w:rsidRPr="003F7F57">
        <w:rPr>
          <w:rFonts w:ascii="Aptos" w:hAnsi="Aptos"/>
        </w:rPr>
        <w:t>border direct marketing activities</w:t>
      </w:r>
      <w:r w:rsidR="00973077" w:rsidRPr="003F7F57">
        <w:rPr>
          <w:rFonts w:ascii="Aptos" w:hAnsi="Aptos"/>
        </w:rPr>
        <w:t xml:space="preserve">. </w:t>
      </w:r>
      <w:r w:rsidR="002F27CA" w:rsidRPr="003F7F57">
        <w:rPr>
          <w:rFonts w:ascii="Aptos" w:hAnsi="Aptos"/>
        </w:rPr>
        <w:t xml:space="preserve">To address this </w:t>
      </w:r>
      <w:r w:rsidR="00051C1C" w:rsidRPr="003F7F57">
        <w:rPr>
          <w:rFonts w:ascii="Aptos" w:hAnsi="Aptos"/>
        </w:rPr>
        <w:t xml:space="preserve">and build upon a successful sector initiative, namely the </w:t>
      </w:r>
      <w:r w:rsidR="00A6091C" w:rsidRPr="003F7F57">
        <w:rPr>
          <w:rFonts w:ascii="Aptos" w:hAnsi="Aptos"/>
        </w:rPr>
        <w:t>widespread use of the Telephone Suppression Files</w:t>
      </w:r>
      <w:r w:rsidR="00481285" w:rsidRPr="003F7F57">
        <w:rPr>
          <w:rFonts w:ascii="Aptos" w:hAnsi="Aptos"/>
        </w:rPr>
        <w:t xml:space="preserve"> (</w:t>
      </w:r>
      <w:r w:rsidR="00E22034" w:rsidRPr="003F7F57">
        <w:rPr>
          <w:rFonts w:ascii="Aptos" w:hAnsi="Aptos"/>
        </w:rPr>
        <w:t>also called ‘</w:t>
      </w:r>
      <w:r w:rsidR="00481285" w:rsidRPr="003F7F57">
        <w:rPr>
          <w:rFonts w:ascii="Aptos" w:hAnsi="Aptos"/>
        </w:rPr>
        <w:t xml:space="preserve">Robinson </w:t>
      </w:r>
      <w:r w:rsidR="00086144" w:rsidRPr="003F7F57">
        <w:rPr>
          <w:rFonts w:ascii="Aptos" w:hAnsi="Aptos"/>
        </w:rPr>
        <w:t>Lists</w:t>
      </w:r>
      <w:r w:rsidR="00E22034" w:rsidRPr="003F7F57">
        <w:rPr>
          <w:rFonts w:ascii="Aptos" w:hAnsi="Aptos"/>
        </w:rPr>
        <w:t>’</w:t>
      </w:r>
      <w:r w:rsidR="00481285" w:rsidRPr="003F7F57">
        <w:rPr>
          <w:rFonts w:ascii="Aptos" w:hAnsi="Aptos"/>
        </w:rPr>
        <w:t>)</w:t>
      </w:r>
      <w:r w:rsidR="004C5F5A" w:rsidRPr="003F7F57">
        <w:rPr>
          <w:rFonts w:ascii="Aptos" w:hAnsi="Aptos"/>
        </w:rPr>
        <w:t xml:space="preserve">, </w:t>
      </w:r>
      <w:r w:rsidR="004C5F5A" w:rsidRPr="003F7F57">
        <w:rPr>
          <w:rFonts w:ascii="Aptos" w:hAnsi="Aptos"/>
          <w:b/>
          <w:bCs/>
        </w:rPr>
        <w:t>FEDMA proposes harmonis</w:t>
      </w:r>
      <w:r w:rsidR="002F27CA" w:rsidRPr="003F7F57">
        <w:rPr>
          <w:rFonts w:ascii="Aptos" w:hAnsi="Aptos"/>
          <w:b/>
          <w:bCs/>
        </w:rPr>
        <w:t>ing</w:t>
      </w:r>
      <w:r w:rsidR="004C5F5A" w:rsidRPr="003F7F57">
        <w:rPr>
          <w:rFonts w:ascii="Aptos" w:hAnsi="Aptos"/>
          <w:b/>
          <w:bCs/>
        </w:rPr>
        <w:t xml:space="preserve"> legislation </w:t>
      </w:r>
      <w:r w:rsidR="00A6091C" w:rsidRPr="003F7F57">
        <w:rPr>
          <w:rFonts w:ascii="Aptos" w:hAnsi="Aptos"/>
          <w:b/>
          <w:bCs/>
        </w:rPr>
        <w:t xml:space="preserve">by prohibiting </w:t>
      </w:r>
      <w:r w:rsidR="006E4EFE" w:rsidRPr="003F7F57">
        <w:rPr>
          <w:rFonts w:ascii="Aptos" w:hAnsi="Aptos"/>
          <w:b/>
          <w:bCs/>
        </w:rPr>
        <w:t xml:space="preserve">direct marketing for </w:t>
      </w:r>
      <w:r w:rsidR="00C81596" w:rsidRPr="003F7F57">
        <w:rPr>
          <w:rFonts w:ascii="Aptos" w:hAnsi="Aptos"/>
          <w:b/>
          <w:bCs/>
        </w:rPr>
        <w:t>subscribers</w:t>
      </w:r>
      <w:r w:rsidR="006E4EFE" w:rsidRPr="003F7F57">
        <w:rPr>
          <w:rFonts w:ascii="Aptos" w:hAnsi="Aptos"/>
          <w:b/>
          <w:bCs/>
        </w:rPr>
        <w:t xml:space="preserve"> or users </w:t>
      </w:r>
      <w:r w:rsidR="00C81596" w:rsidRPr="003F7F57">
        <w:rPr>
          <w:rFonts w:ascii="Aptos" w:hAnsi="Aptos"/>
          <w:b/>
          <w:bCs/>
        </w:rPr>
        <w:t>who have expressed their wish not to receive such communications</w:t>
      </w:r>
      <w:r w:rsidR="006E4EFE" w:rsidRPr="003F7F57">
        <w:rPr>
          <w:rFonts w:ascii="Aptos" w:hAnsi="Aptos"/>
        </w:rPr>
        <w:t>.</w:t>
      </w:r>
      <w:r w:rsidR="00C81596" w:rsidRPr="003F7F57">
        <w:rPr>
          <w:rStyle w:val="FootnoteReference"/>
          <w:rFonts w:ascii="Aptos" w:hAnsi="Aptos"/>
        </w:rPr>
        <w:footnoteReference w:id="5"/>
      </w:r>
      <w:r w:rsidR="006E4EFE" w:rsidRPr="003F7F57">
        <w:rPr>
          <w:rFonts w:ascii="Aptos" w:hAnsi="Aptos"/>
        </w:rPr>
        <w:t xml:space="preserve"> </w:t>
      </w:r>
    </w:p>
    <w:p w14:paraId="2F73E322" w14:textId="02357D59" w:rsidR="002734A0" w:rsidRPr="00CA347B" w:rsidRDefault="00CA347B" w:rsidP="00CA347B">
      <w:pPr>
        <w:jc w:val="both"/>
        <w:rPr>
          <w:rFonts w:ascii="Aptos" w:hAnsi="Aptos"/>
        </w:rPr>
      </w:pPr>
      <w:r w:rsidRPr="00CF77B4">
        <w:rPr>
          <w:rFonts w:ascii="Aptos" w:hAnsi="Aptos"/>
        </w:rPr>
        <w:lastRenderedPageBreak/>
        <w:t>Maintaining a</w:t>
      </w:r>
      <w:r w:rsidR="002734A0" w:rsidRPr="00CF77B4">
        <w:rPr>
          <w:rFonts w:ascii="Aptos" w:hAnsi="Aptos"/>
        </w:rPr>
        <w:t xml:space="preserve"> “split</w:t>
      </w:r>
      <w:r w:rsidR="007C210F" w:rsidRPr="00CF77B4">
        <w:rPr>
          <w:rFonts w:ascii="Aptos" w:hAnsi="Aptos"/>
        </w:rPr>
        <w:t>”</w:t>
      </w:r>
      <w:r w:rsidR="00F30F73" w:rsidRPr="00CF77B4">
        <w:rPr>
          <w:rFonts w:ascii="Aptos" w:hAnsi="Aptos"/>
        </w:rPr>
        <w:t xml:space="preserve"> GDPR and ePrivacy legal framework</w:t>
      </w:r>
      <w:r w:rsidR="009905CA">
        <w:rPr>
          <w:rStyle w:val="FootnoteReference"/>
          <w:rFonts w:ascii="Aptos" w:hAnsi="Aptos"/>
        </w:rPr>
        <w:footnoteReference w:id="6"/>
      </w:r>
      <w:r w:rsidR="00F30F73" w:rsidRPr="00CF77B4">
        <w:rPr>
          <w:rFonts w:ascii="Aptos" w:hAnsi="Aptos"/>
        </w:rPr>
        <w:t xml:space="preserve"> together with </w:t>
      </w:r>
      <w:r w:rsidRPr="00CF77B4">
        <w:rPr>
          <w:rFonts w:ascii="Aptos" w:hAnsi="Aptos"/>
        </w:rPr>
        <w:t xml:space="preserve">fragmented </w:t>
      </w:r>
      <w:r w:rsidR="00CF77B4" w:rsidRPr="00CF77B4">
        <w:rPr>
          <w:rFonts w:ascii="Aptos" w:hAnsi="Aptos"/>
        </w:rPr>
        <w:t>interpretations</w:t>
      </w:r>
      <w:r w:rsidRPr="00CF77B4">
        <w:rPr>
          <w:rFonts w:ascii="Aptos" w:hAnsi="Aptos"/>
        </w:rPr>
        <w:t xml:space="preserve"> </w:t>
      </w:r>
      <w:r w:rsidR="007C210F" w:rsidRPr="00CF77B4">
        <w:rPr>
          <w:rFonts w:ascii="Aptos" w:hAnsi="Aptos"/>
        </w:rPr>
        <w:t>perpetuate</w:t>
      </w:r>
      <w:r w:rsidR="008B0BAB" w:rsidRPr="00CF77B4">
        <w:rPr>
          <w:rFonts w:ascii="Aptos" w:hAnsi="Aptos"/>
        </w:rPr>
        <w:t>s</w:t>
      </w:r>
      <w:r w:rsidRPr="00CF77B4">
        <w:rPr>
          <w:rFonts w:ascii="Aptos" w:hAnsi="Aptos"/>
        </w:rPr>
        <w:t xml:space="preserve"> </w:t>
      </w:r>
      <w:r w:rsidR="007C210F" w:rsidRPr="00CF77B4">
        <w:rPr>
          <w:rFonts w:ascii="Aptos" w:hAnsi="Aptos"/>
        </w:rPr>
        <w:t xml:space="preserve">legal </w:t>
      </w:r>
      <w:r w:rsidRPr="00CF77B4">
        <w:rPr>
          <w:rFonts w:ascii="Aptos" w:hAnsi="Aptos"/>
        </w:rPr>
        <w:t xml:space="preserve">uncertainty, </w:t>
      </w:r>
      <w:r w:rsidR="007C210F" w:rsidRPr="00CF77B4">
        <w:rPr>
          <w:rFonts w:ascii="Aptos" w:hAnsi="Aptos"/>
        </w:rPr>
        <w:t>(</w:t>
      </w:r>
      <w:r w:rsidR="00431565" w:rsidRPr="00CF77B4">
        <w:rPr>
          <w:rFonts w:ascii="Aptos" w:hAnsi="Aptos"/>
        </w:rPr>
        <w:t>cross-border</w:t>
      </w:r>
      <w:r w:rsidR="007C210F" w:rsidRPr="00CF77B4">
        <w:rPr>
          <w:rFonts w:ascii="Aptos" w:hAnsi="Aptos"/>
        </w:rPr>
        <w:t>)</w:t>
      </w:r>
      <w:r w:rsidR="00431565" w:rsidRPr="00CF77B4">
        <w:rPr>
          <w:rFonts w:ascii="Aptos" w:hAnsi="Aptos"/>
        </w:rPr>
        <w:t xml:space="preserve"> </w:t>
      </w:r>
      <w:r w:rsidRPr="00CF77B4">
        <w:rPr>
          <w:rFonts w:ascii="Aptos" w:hAnsi="Aptos"/>
        </w:rPr>
        <w:t xml:space="preserve">operational complexity and unnecessary compliance burdens for </w:t>
      </w:r>
      <w:r w:rsidR="002734A0" w:rsidRPr="00CF77B4">
        <w:rPr>
          <w:rFonts w:ascii="Aptos" w:hAnsi="Aptos"/>
        </w:rPr>
        <w:t xml:space="preserve">the </w:t>
      </w:r>
      <w:r w:rsidR="00704E75" w:rsidRPr="00704E75">
        <w:rPr>
          <w:rFonts w:ascii="Aptos" w:hAnsi="Aptos"/>
        </w:rPr>
        <w:t xml:space="preserve">data-driven </w:t>
      </w:r>
      <w:r w:rsidR="002734A0" w:rsidRPr="00CF77B4">
        <w:rPr>
          <w:rFonts w:ascii="Aptos" w:hAnsi="Aptos"/>
        </w:rPr>
        <w:t>marketing</w:t>
      </w:r>
      <w:r w:rsidRPr="00CF77B4">
        <w:rPr>
          <w:rFonts w:ascii="Aptos" w:hAnsi="Aptos"/>
        </w:rPr>
        <w:t xml:space="preserve"> sector.</w:t>
      </w:r>
      <w:r w:rsidR="002734A0" w:rsidRPr="00CF77B4">
        <w:rPr>
          <w:rFonts w:ascii="Aptos" w:hAnsi="Aptos"/>
        </w:rPr>
        <w:t xml:space="preserve"> </w:t>
      </w:r>
      <w:r w:rsidR="00431565" w:rsidRPr="00CF77B4">
        <w:rPr>
          <w:rFonts w:ascii="Aptos" w:hAnsi="Aptos"/>
        </w:rPr>
        <w:t xml:space="preserve">This will not only negatively impact efficiency in the </w:t>
      </w:r>
      <w:r w:rsidR="00704E75" w:rsidRPr="00704E75">
        <w:rPr>
          <w:rFonts w:ascii="Aptos" w:hAnsi="Aptos"/>
        </w:rPr>
        <w:t xml:space="preserve">data-driven </w:t>
      </w:r>
      <w:r w:rsidR="00431565" w:rsidRPr="00CF77B4">
        <w:rPr>
          <w:rFonts w:ascii="Aptos" w:hAnsi="Aptos"/>
        </w:rPr>
        <w:t xml:space="preserve">marketing sector but </w:t>
      </w:r>
      <w:r w:rsidR="004806A0" w:rsidRPr="00CF77B4">
        <w:rPr>
          <w:rFonts w:ascii="Aptos" w:hAnsi="Aptos"/>
        </w:rPr>
        <w:t>also,</w:t>
      </w:r>
      <w:r w:rsidR="00431565" w:rsidRPr="00CF77B4">
        <w:rPr>
          <w:rFonts w:ascii="Aptos" w:hAnsi="Aptos"/>
        </w:rPr>
        <w:t xml:space="preserve"> </w:t>
      </w:r>
      <w:r w:rsidR="004806A0" w:rsidRPr="00CF77B4">
        <w:rPr>
          <w:rFonts w:ascii="Aptos" w:hAnsi="Aptos"/>
        </w:rPr>
        <w:t>t</w:t>
      </w:r>
      <w:r w:rsidR="00B55FDD" w:rsidRPr="00CF77B4">
        <w:rPr>
          <w:rFonts w:ascii="Aptos" w:hAnsi="Aptos"/>
        </w:rPr>
        <w:t xml:space="preserve">he many European companies that rely on </w:t>
      </w:r>
      <w:r w:rsidR="00704E75" w:rsidRPr="00704E75">
        <w:rPr>
          <w:rFonts w:ascii="Aptos" w:hAnsi="Aptos"/>
        </w:rPr>
        <w:t xml:space="preserve">data-driven </w:t>
      </w:r>
      <w:r w:rsidR="00820A79" w:rsidRPr="00CF77B4">
        <w:rPr>
          <w:rFonts w:ascii="Aptos" w:hAnsi="Aptos"/>
        </w:rPr>
        <w:t>marketing</w:t>
      </w:r>
      <w:r w:rsidR="00B55FDD" w:rsidRPr="00CF77B4">
        <w:rPr>
          <w:rFonts w:ascii="Aptos" w:hAnsi="Aptos"/>
        </w:rPr>
        <w:t xml:space="preserve"> services to reach</w:t>
      </w:r>
      <w:r w:rsidR="00820A79" w:rsidRPr="00CF77B4">
        <w:rPr>
          <w:rFonts w:ascii="Aptos" w:hAnsi="Aptos"/>
        </w:rPr>
        <w:t xml:space="preserve"> </w:t>
      </w:r>
      <w:r w:rsidR="00B55FDD" w:rsidRPr="00CF77B4">
        <w:rPr>
          <w:rFonts w:ascii="Aptos" w:hAnsi="Aptos"/>
        </w:rPr>
        <w:t xml:space="preserve">customers, innovate, and grow. </w:t>
      </w:r>
      <w:r w:rsidR="00B55FDD" w:rsidRPr="00CF77B4">
        <w:rPr>
          <w:rFonts w:ascii="Aptos" w:hAnsi="Aptos"/>
          <w:b/>
          <w:bCs/>
        </w:rPr>
        <w:t xml:space="preserve">A modern, seamlessly coordinated and </w:t>
      </w:r>
      <w:r w:rsidR="00ED6B9F" w:rsidRPr="00CF77B4">
        <w:rPr>
          <w:rFonts w:ascii="Aptos" w:hAnsi="Aptos"/>
          <w:b/>
          <w:bCs/>
        </w:rPr>
        <w:t xml:space="preserve">consistently interpreted GDPR and ePrivacy legal framework </w:t>
      </w:r>
      <w:r w:rsidR="004806A0" w:rsidRPr="00CF77B4">
        <w:rPr>
          <w:rFonts w:ascii="Aptos" w:hAnsi="Aptos"/>
          <w:b/>
          <w:bCs/>
        </w:rPr>
        <w:t xml:space="preserve">is key for the growth of the wider European economy. </w:t>
      </w:r>
    </w:p>
    <w:p w14:paraId="3E07DF8D" w14:textId="2AD81BAC" w:rsidR="00010E23" w:rsidRPr="00010E23" w:rsidRDefault="00010E23" w:rsidP="00010E23">
      <w:pPr>
        <w:pStyle w:val="ListParagraph"/>
        <w:numPr>
          <w:ilvl w:val="0"/>
          <w:numId w:val="15"/>
        </w:numPr>
        <w:jc w:val="both"/>
        <w:rPr>
          <w:rFonts w:ascii="Aptos" w:hAnsi="Aptos"/>
          <w:b/>
          <w:bCs/>
          <w:color w:val="002060"/>
        </w:rPr>
      </w:pPr>
      <w:r w:rsidRPr="00010E23">
        <w:rPr>
          <w:rFonts w:ascii="Aptos" w:hAnsi="Aptos"/>
          <w:b/>
          <w:bCs/>
          <w:color w:val="002060"/>
        </w:rPr>
        <w:t xml:space="preserve">Targeted amendments under Art. 88b </w:t>
      </w:r>
      <w:r>
        <w:rPr>
          <w:rFonts w:ascii="Aptos" w:hAnsi="Aptos"/>
          <w:b/>
          <w:bCs/>
          <w:color w:val="002060"/>
        </w:rPr>
        <w:t xml:space="preserve">‘amended’ GDPR: </w:t>
      </w:r>
      <w:r w:rsidR="00DB5D3D">
        <w:rPr>
          <w:rFonts w:ascii="Aptos" w:hAnsi="Aptos"/>
          <w:b/>
          <w:bCs/>
          <w:color w:val="002060"/>
        </w:rPr>
        <w:t xml:space="preserve">browser-based consent control </w:t>
      </w:r>
    </w:p>
    <w:p w14:paraId="0F892E9D" w14:textId="59166D90" w:rsidR="003C62EF" w:rsidRDefault="00D24BF6" w:rsidP="00742BC3">
      <w:pPr>
        <w:jc w:val="both"/>
        <w:rPr>
          <w:rFonts w:ascii="Aptos" w:hAnsi="Aptos"/>
        </w:rPr>
      </w:pPr>
      <w:r w:rsidRPr="001320C7">
        <w:rPr>
          <w:rFonts w:ascii="Aptos" w:hAnsi="Aptos"/>
        </w:rPr>
        <w:t xml:space="preserve">Consent </w:t>
      </w:r>
      <w:r w:rsidR="00062231" w:rsidRPr="001320C7">
        <w:rPr>
          <w:rFonts w:ascii="Aptos" w:hAnsi="Aptos"/>
        </w:rPr>
        <w:t xml:space="preserve">enables </w:t>
      </w:r>
      <w:r w:rsidR="00F23E35" w:rsidRPr="001320C7">
        <w:rPr>
          <w:rFonts w:ascii="Aptos" w:hAnsi="Aptos"/>
        </w:rPr>
        <w:t>transparency, user trust</w:t>
      </w:r>
      <w:r w:rsidR="001320C7">
        <w:rPr>
          <w:rFonts w:ascii="Aptos" w:hAnsi="Aptos"/>
        </w:rPr>
        <w:t xml:space="preserve"> and autonomy</w:t>
      </w:r>
      <w:r w:rsidR="00F23E35" w:rsidRPr="001320C7">
        <w:rPr>
          <w:rFonts w:ascii="Aptos" w:hAnsi="Aptos"/>
        </w:rPr>
        <w:t xml:space="preserve"> and ethical data use in the </w:t>
      </w:r>
      <w:r w:rsidR="00704E75" w:rsidRPr="00704E75">
        <w:rPr>
          <w:rFonts w:ascii="Aptos" w:hAnsi="Aptos"/>
        </w:rPr>
        <w:t xml:space="preserve">data-driven </w:t>
      </w:r>
      <w:r w:rsidR="00F23E35" w:rsidRPr="001320C7">
        <w:rPr>
          <w:rFonts w:ascii="Aptos" w:hAnsi="Aptos"/>
        </w:rPr>
        <w:t xml:space="preserve">marketing </w:t>
      </w:r>
      <w:r w:rsidR="001320C7" w:rsidRPr="001320C7">
        <w:rPr>
          <w:rFonts w:ascii="Aptos" w:hAnsi="Aptos"/>
        </w:rPr>
        <w:t>sector and</w:t>
      </w:r>
      <w:r w:rsidR="00F23E35" w:rsidRPr="001320C7">
        <w:rPr>
          <w:rFonts w:ascii="Aptos" w:hAnsi="Aptos"/>
        </w:rPr>
        <w:t xml:space="preserve"> should</w:t>
      </w:r>
      <w:r w:rsidR="001320C7">
        <w:rPr>
          <w:rFonts w:ascii="Aptos" w:hAnsi="Aptos"/>
        </w:rPr>
        <w:t xml:space="preserve"> therefore</w:t>
      </w:r>
      <w:r w:rsidR="00F23E35" w:rsidRPr="001320C7">
        <w:rPr>
          <w:rFonts w:ascii="Aptos" w:hAnsi="Aptos"/>
        </w:rPr>
        <w:t xml:space="preserve"> remain a core concept in the GDPR.</w:t>
      </w:r>
      <w:r>
        <w:rPr>
          <w:rFonts w:ascii="Aptos" w:hAnsi="Aptos"/>
        </w:rPr>
        <w:t xml:space="preserve"> </w:t>
      </w:r>
      <w:r w:rsidR="003758D3">
        <w:rPr>
          <w:rFonts w:ascii="Aptos" w:hAnsi="Aptos"/>
        </w:rPr>
        <w:t xml:space="preserve">To preserve a competitive and innovation-friendly environment for consent management, </w:t>
      </w:r>
      <w:r w:rsidR="00CA5A80">
        <w:rPr>
          <w:rFonts w:ascii="Aptos" w:hAnsi="Aptos"/>
        </w:rPr>
        <w:t xml:space="preserve">and catering to the needs of a wide range of different users, </w:t>
      </w:r>
      <w:r w:rsidR="00A0702B" w:rsidRPr="00546902">
        <w:rPr>
          <w:rFonts w:ascii="Aptos" w:hAnsi="Aptos"/>
          <w:b/>
          <w:bCs/>
        </w:rPr>
        <w:t xml:space="preserve">FEDMA </w:t>
      </w:r>
      <w:r w:rsidR="003C62EF" w:rsidRPr="00546902">
        <w:rPr>
          <w:rFonts w:ascii="Aptos" w:hAnsi="Aptos"/>
          <w:b/>
          <w:bCs/>
        </w:rPr>
        <w:t xml:space="preserve">does not welcome Art.88b </w:t>
      </w:r>
      <w:r w:rsidR="002265FB" w:rsidRPr="00546902">
        <w:rPr>
          <w:rFonts w:ascii="Aptos" w:hAnsi="Aptos"/>
          <w:b/>
          <w:bCs/>
        </w:rPr>
        <w:t xml:space="preserve">‘amended’ </w:t>
      </w:r>
      <w:r w:rsidR="003C62EF" w:rsidRPr="00546902">
        <w:rPr>
          <w:rFonts w:ascii="Aptos" w:hAnsi="Aptos"/>
          <w:b/>
          <w:bCs/>
        </w:rPr>
        <w:t>GDPR</w:t>
      </w:r>
      <w:r w:rsidR="003C62EF">
        <w:rPr>
          <w:rFonts w:ascii="Aptos" w:hAnsi="Aptos"/>
        </w:rPr>
        <w:t xml:space="preserve"> </w:t>
      </w:r>
      <w:r w:rsidR="002265FB">
        <w:rPr>
          <w:rFonts w:ascii="Aptos" w:hAnsi="Aptos"/>
        </w:rPr>
        <w:t>aiming at establishing</w:t>
      </w:r>
      <w:r w:rsidR="003758D3">
        <w:rPr>
          <w:rFonts w:ascii="Aptos" w:hAnsi="Aptos"/>
        </w:rPr>
        <w:t xml:space="preserve"> </w:t>
      </w:r>
      <w:r w:rsidR="002265FB" w:rsidRPr="002265FB">
        <w:rPr>
          <w:rFonts w:ascii="Aptos" w:hAnsi="Aptos"/>
        </w:rPr>
        <w:t xml:space="preserve">browser-based consent control </w:t>
      </w:r>
      <w:r w:rsidR="003C62EF">
        <w:rPr>
          <w:rFonts w:ascii="Aptos" w:hAnsi="Aptos"/>
        </w:rPr>
        <w:t xml:space="preserve">and </w:t>
      </w:r>
      <w:r w:rsidR="00D45887">
        <w:rPr>
          <w:rFonts w:ascii="Aptos" w:hAnsi="Aptos"/>
        </w:rPr>
        <w:t xml:space="preserve">urges the </w:t>
      </w:r>
      <w:r w:rsidR="003C62EF">
        <w:rPr>
          <w:rFonts w:ascii="Aptos" w:hAnsi="Aptos"/>
        </w:rPr>
        <w:t>delet</w:t>
      </w:r>
      <w:r w:rsidR="00D45887">
        <w:rPr>
          <w:rFonts w:ascii="Aptos" w:hAnsi="Aptos"/>
        </w:rPr>
        <w:t>ion of</w:t>
      </w:r>
      <w:r w:rsidR="003C62EF">
        <w:rPr>
          <w:rFonts w:ascii="Aptos" w:hAnsi="Aptos"/>
        </w:rPr>
        <w:t xml:space="preserve"> this amendment for several reasons: </w:t>
      </w:r>
    </w:p>
    <w:p w14:paraId="2D661EF0" w14:textId="4C7609ED" w:rsidR="003C62EF" w:rsidRDefault="00697D77" w:rsidP="00D45887">
      <w:pPr>
        <w:pStyle w:val="ListParagraph"/>
        <w:numPr>
          <w:ilvl w:val="0"/>
          <w:numId w:val="20"/>
        </w:numPr>
        <w:jc w:val="both"/>
        <w:rPr>
          <w:rFonts w:ascii="Aptos" w:hAnsi="Aptos"/>
        </w:rPr>
      </w:pPr>
      <w:r>
        <w:rPr>
          <w:rFonts w:ascii="Aptos" w:hAnsi="Aptos"/>
        </w:rPr>
        <w:t xml:space="preserve">There is a widespread concern that </w:t>
      </w:r>
      <w:r w:rsidR="001A7D7D">
        <w:rPr>
          <w:rFonts w:ascii="Aptos" w:hAnsi="Aptos"/>
        </w:rPr>
        <w:t xml:space="preserve">relying on </w:t>
      </w:r>
      <w:r w:rsidR="00852978">
        <w:rPr>
          <w:rFonts w:ascii="Aptos" w:hAnsi="Aptos"/>
        </w:rPr>
        <w:t xml:space="preserve">an </w:t>
      </w:r>
      <w:r>
        <w:rPr>
          <w:rFonts w:ascii="Aptos" w:hAnsi="Aptos"/>
        </w:rPr>
        <w:t xml:space="preserve">exclusive </w:t>
      </w:r>
      <w:r w:rsidRPr="00697D77">
        <w:rPr>
          <w:rFonts w:ascii="Aptos" w:hAnsi="Aptos"/>
        </w:rPr>
        <w:t>browser-based consent control</w:t>
      </w:r>
      <w:r>
        <w:rPr>
          <w:rFonts w:ascii="Aptos" w:hAnsi="Aptos"/>
        </w:rPr>
        <w:t xml:space="preserve"> </w:t>
      </w:r>
      <w:r w:rsidR="00195FAB">
        <w:rPr>
          <w:rFonts w:ascii="Aptos" w:hAnsi="Aptos"/>
        </w:rPr>
        <w:t xml:space="preserve">mechanism </w:t>
      </w:r>
      <w:r w:rsidR="0091142A">
        <w:rPr>
          <w:rFonts w:ascii="Aptos" w:hAnsi="Aptos"/>
        </w:rPr>
        <w:t xml:space="preserve">would create a </w:t>
      </w:r>
      <w:r w:rsidR="0091142A" w:rsidRPr="00EF6F0C">
        <w:rPr>
          <w:rFonts w:ascii="Aptos" w:hAnsi="Aptos"/>
          <w:b/>
          <w:bCs/>
          <w:i/>
          <w:iCs/>
        </w:rPr>
        <w:t>de facto</w:t>
      </w:r>
      <w:r w:rsidR="0091142A" w:rsidRPr="00EF6F0C">
        <w:rPr>
          <w:rFonts w:ascii="Aptos" w:hAnsi="Aptos"/>
          <w:b/>
          <w:bCs/>
        </w:rPr>
        <w:t xml:space="preserve"> monopoly for browser providers</w:t>
      </w:r>
      <w:r w:rsidR="002511FA" w:rsidRPr="00EF6F0C">
        <w:rPr>
          <w:rFonts w:ascii="Aptos" w:hAnsi="Aptos"/>
          <w:b/>
          <w:bCs/>
        </w:rPr>
        <w:t xml:space="preserve">, limiting the ability of a </w:t>
      </w:r>
      <w:r w:rsidR="005A6752">
        <w:rPr>
          <w:rFonts w:ascii="Aptos" w:hAnsi="Aptos"/>
          <w:b/>
          <w:bCs/>
        </w:rPr>
        <w:t>wide</w:t>
      </w:r>
      <w:r w:rsidR="002511FA" w:rsidRPr="00EF6F0C">
        <w:rPr>
          <w:rFonts w:ascii="Aptos" w:hAnsi="Aptos"/>
          <w:b/>
          <w:bCs/>
        </w:rPr>
        <w:t xml:space="preserve"> ecosystem of European businesses </w:t>
      </w:r>
      <w:r w:rsidR="0037043A" w:rsidRPr="00EF6F0C">
        <w:rPr>
          <w:rFonts w:ascii="Aptos" w:hAnsi="Aptos"/>
          <w:b/>
          <w:bCs/>
        </w:rPr>
        <w:t xml:space="preserve">to build direct </w:t>
      </w:r>
      <w:r w:rsidR="003B5CA6">
        <w:rPr>
          <w:rFonts w:ascii="Aptos" w:hAnsi="Aptos"/>
          <w:b/>
          <w:bCs/>
        </w:rPr>
        <w:t xml:space="preserve">and trusted </w:t>
      </w:r>
      <w:r w:rsidR="0037043A" w:rsidRPr="00EF6F0C">
        <w:rPr>
          <w:rFonts w:ascii="Aptos" w:hAnsi="Aptos"/>
          <w:b/>
          <w:bCs/>
        </w:rPr>
        <w:t>relationships with the end users.</w:t>
      </w:r>
      <w:r w:rsidR="0037043A">
        <w:rPr>
          <w:rFonts w:ascii="Aptos" w:hAnsi="Aptos"/>
        </w:rPr>
        <w:t xml:space="preserve"> </w:t>
      </w:r>
      <w:r w:rsidR="00531DB2">
        <w:rPr>
          <w:rFonts w:ascii="Aptos" w:hAnsi="Aptos"/>
        </w:rPr>
        <w:t xml:space="preserve">Such a model would </w:t>
      </w:r>
      <w:r w:rsidR="00DD482D">
        <w:rPr>
          <w:rFonts w:ascii="Aptos" w:hAnsi="Aptos"/>
        </w:rPr>
        <w:t>unduly</w:t>
      </w:r>
      <w:r w:rsidR="00531DB2">
        <w:rPr>
          <w:rFonts w:ascii="Aptos" w:hAnsi="Aptos"/>
        </w:rPr>
        <w:t xml:space="preserve"> </w:t>
      </w:r>
      <w:r w:rsidR="00F3504E">
        <w:rPr>
          <w:rFonts w:ascii="Aptos" w:hAnsi="Aptos"/>
        </w:rPr>
        <w:t xml:space="preserve">negatively </w:t>
      </w:r>
      <w:r w:rsidR="00531DB2">
        <w:rPr>
          <w:rFonts w:ascii="Aptos" w:hAnsi="Aptos"/>
        </w:rPr>
        <w:t xml:space="preserve">affect </w:t>
      </w:r>
      <w:r w:rsidR="00704E75" w:rsidRPr="00704E75">
        <w:rPr>
          <w:rFonts w:ascii="Aptos" w:hAnsi="Aptos"/>
        </w:rPr>
        <w:t xml:space="preserve">data-driven </w:t>
      </w:r>
      <w:r w:rsidR="00531DB2">
        <w:rPr>
          <w:rFonts w:ascii="Aptos" w:hAnsi="Aptos"/>
        </w:rPr>
        <w:t xml:space="preserve">marketing companies, particularly SMEs, </w:t>
      </w:r>
      <w:r w:rsidR="00F3504E">
        <w:rPr>
          <w:rFonts w:ascii="Aptos" w:hAnsi="Aptos"/>
        </w:rPr>
        <w:t xml:space="preserve">and could even </w:t>
      </w:r>
      <w:r w:rsidR="00256A03">
        <w:rPr>
          <w:rFonts w:ascii="Aptos" w:hAnsi="Aptos"/>
        </w:rPr>
        <w:t>jeopardise the viability</w:t>
      </w:r>
      <w:r w:rsidR="007A1888">
        <w:rPr>
          <w:rFonts w:ascii="Aptos" w:hAnsi="Aptos"/>
        </w:rPr>
        <w:t xml:space="preserve"> of some. </w:t>
      </w:r>
      <w:r w:rsidR="00734C4C">
        <w:rPr>
          <w:rFonts w:ascii="Aptos" w:hAnsi="Aptos"/>
        </w:rPr>
        <w:t>Such unintended consequences can only be prevented by the deletion of Art. 88b ‘amended’ GDPR</w:t>
      </w:r>
      <w:r w:rsidR="002C3B67">
        <w:rPr>
          <w:rFonts w:ascii="Aptos" w:hAnsi="Aptos"/>
        </w:rPr>
        <w:t xml:space="preserve">. </w:t>
      </w:r>
    </w:p>
    <w:p w14:paraId="21D804A6" w14:textId="6767A70E" w:rsidR="00F85B7C" w:rsidRPr="003355F2" w:rsidRDefault="008B617B" w:rsidP="00D45887">
      <w:pPr>
        <w:pStyle w:val="ListParagraph"/>
        <w:numPr>
          <w:ilvl w:val="0"/>
          <w:numId w:val="20"/>
        </w:numPr>
        <w:jc w:val="both"/>
        <w:rPr>
          <w:rFonts w:ascii="Aptos" w:hAnsi="Aptos"/>
          <w:b/>
          <w:bCs/>
        </w:rPr>
      </w:pPr>
      <w:r>
        <w:rPr>
          <w:rFonts w:ascii="Aptos" w:hAnsi="Aptos"/>
        </w:rPr>
        <w:t>Complementarily, by favouring a</w:t>
      </w:r>
      <w:r w:rsidR="00E573B0">
        <w:rPr>
          <w:rFonts w:ascii="Aptos" w:hAnsi="Aptos"/>
        </w:rPr>
        <w:t xml:space="preserve"> single</w:t>
      </w:r>
      <w:r>
        <w:rPr>
          <w:rFonts w:ascii="Aptos" w:hAnsi="Aptos"/>
        </w:rPr>
        <w:t xml:space="preserve"> </w:t>
      </w:r>
      <w:r w:rsidR="00B105E7">
        <w:rPr>
          <w:rFonts w:ascii="Aptos" w:hAnsi="Aptos"/>
        </w:rPr>
        <w:t>technical solution over a market</w:t>
      </w:r>
      <w:r w:rsidR="00C307CB">
        <w:rPr>
          <w:rFonts w:ascii="Aptos" w:hAnsi="Aptos"/>
        </w:rPr>
        <w:t>-driven</w:t>
      </w:r>
      <w:r w:rsidR="00B105E7">
        <w:rPr>
          <w:rFonts w:ascii="Aptos" w:hAnsi="Aptos"/>
        </w:rPr>
        <w:t xml:space="preserve"> solution, </w:t>
      </w:r>
      <w:r w:rsidR="00B105E7" w:rsidRPr="00B105E7">
        <w:rPr>
          <w:rFonts w:ascii="Aptos" w:hAnsi="Aptos"/>
          <w:b/>
          <w:bCs/>
        </w:rPr>
        <w:t xml:space="preserve">the </w:t>
      </w:r>
      <w:r w:rsidR="002856D6">
        <w:rPr>
          <w:rFonts w:ascii="Aptos" w:hAnsi="Aptos"/>
          <w:b/>
          <w:bCs/>
        </w:rPr>
        <w:t>D</w:t>
      </w:r>
      <w:r w:rsidR="00B105E7" w:rsidRPr="00B105E7">
        <w:rPr>
          <w:rFonts w:ascii="Aptos" w:hAnsi="Aptos"/>
          <w:b/>
          <w:bCs/>
        </w:rPr>
        <w:t xml:space="preserve">igital </w:t>
      </w:r>
      <w:r w:rsidR="002856D6">
        <w:rPr>
          <w:rFonts w:ascii="Aptos" w:hAnsi="Aptos"/>
          <w:b/>
          <w:bCs/>
        </w:rPr>
        <w:t>O</w:t>
      </w:r>
      <w:r w:rsidR="00B105E7" w:rsidRPr="00B105E7">
        <w:rPr>
          <w:rFonts w:ascii="Aptos" w:hAnsi="Aptos"/>
          <w:b/>
          <w:bCs/>
        </w:rPr>
        <w:t>mnibus undermines the principle of technological neutrality</w:t>
      </w:r>
      <w:r w:rsidR="00E834BA">
        <w:rPr>
          <w:rFonts w:ascii="Aptos" w:hAnsi="Aptos"/>
          <w:b/>
          <w:bCs/>
        </w:rPr>
        <w:t xml:space="preserve"> </w:t>
      </w:r>
      <w:r w:rsidR="00E11304">
        <w:rPr>
          <w:rFonts w:ascii="Aptos" w:hAnsi="Aptos"/>
          <w:b/>
          <w:bCs/>
        </w:rPr>
        <w:t>already embedded</w:t>
      </w:r>
      <w:r w:rsidR="00E834BA">
        <w:rPr>
          <w:rFonts w:ascii="Aptos" w:hAnsi="Aptos"/>
          <w:b/>
          <w:bCs/>
        </w:rPr>
        <w:t xml:space="preserve"> in the GDPR</w:t>
      </w:r>
      <w:r w:rsidR="00B105E7">
        <w:rPr>
          <w:rFonts w:ascii="Aptos" w:hAnsi="Aptos"/>
        </w:rPr>
        <w:t xml:space="preserve">. </w:t>
      </w:r>
      <w:r w:rsidR="00CE726B">
        <w:rPr>
          <w:rFonts w:ascii="Aptos" w:hAnsi="Aptos"/>
        </w:rPr>
        <w:t>European SMEs have developed or are developing consent management tools</w:t>
      </w:r>
      <w:r w:rsidR="00B67C52">
        <w:rPr>
          <w:rFonts w:ascii="Aptos" w:hAnsi="Aptos"/>
        </w:rPr>
        <w:t xml:space="preserve"> (e.g., </w:t>
      </w:r>
      <w:r w:rsidR="00B67C52" w:rsidRPr="00B67C52">
        <w:rPr>
          <w:rFonts w:ascii="Aptos" w:hAnsi="Aptos"/>
        </w:rPr>
        <w:t>plugins</w:t>
      </w:r>
      <w:r w:rsidR="00B67C52">
        <w:rPr>
          <w:rFonts w:ascii="Aptos" w:hAnsi="Aptos"/>
        </w:rPr>
        <w:t>)</w:t>
      </w:r>
      <w:r w:rsidR="00CE7FBA">
        <w:rPr>
          <w:rFonts w:ascii="Aptos" w:hAnsi="Aptos"/>
        </w:rPr>
        <w:t xml:space="preserve"> which offer meaningful choice and flexibility. </w:t>
      </w:r>
      <w:r w:rsidR="00550683">
        <w:rPr>
          <w:rFonts w:ascii="Aptos" w:hAnsi="Aptos"/>
        </w:rPr>
        <w:t>Were</w:t>
      </w:r>
      <w:r w:rsidR="009E6671">
        <w:rPr>
          <w:rFonts w:ascii="Aptos" w:hAnsi="Aptos"/>
        </w:rPr>
        <w:t xml:space="preserve"> this provision be enacted, </w:t>
      </w:r>
      <w:r w:rsidR="009E6671" w:rsidRPr="00A31A07">
        <w:rPr>
          <w:rFonts w:ascii="Aptos" w:hAnsi="Aptos"/>
          <w:b/>
          <w:bCs/>
        </w:rPr>
        <w:t xml:space="preserve">innovation </w:t>
      </w:r>
      <w:r w:rsidR="00A31A07" w:rsidRPr="00A31A07">
        <w:rPr>
          <w:rFonts w:ascii="Aptos" w:hAnsi="Aptos"/>
          <w:b/>
          <w:bCs/>
        </w:rPr>
        <w:t xml:space="preserve">would </w:t>
      </w:r>
      <w:r w:rsidR="00F74B31">
        <w:rPr>
          <w:rFonts w:ascii="Aptos" w:hAnsi="Aptos"/>
          <w:b/>
          <w:bCs/>
        </w:rPr>
        <w:t xml:space="preserve">then </w:t>
      </w:r>
      <w:r w:rsidR="00A31A07" w:rsidRPr="00A31A07">
        <w:rPr>
          <w:rFonts w:ascii="Aptos" w:hAnsi="Aptos"/>
          <w:b/>
          <w:bCs/>
        </w:rPr>
        <w:t>be directly suppressed</w:t>
      </w:r>
      <w:r w:rsidR="003C7D21">
        <w:rPr>
          <w:rFonts w:ascii="Aptos" w:hAnsi="Aptos"/>
        </w:rPr>
        <w:t xml:space="preserve">, not because </w:t>
      </w:r>
      <w:r w:rsidR="00AD69D5">
        <w:rPr>
          <w:rFonts w:ascii="Aptos" w:hAnsi="Aptos"/>
        </w:rPr>
        <w:t>the</w:t>
      </w:r>
      <w:r w:rsidR="00CA6FF2">
        <w:rPr>
          <w:rFonts w:ascii="Aptos" w:hAnsi="Aptos"/>
        </w:rPr>
        <w:t xml:space="preserve"> exclusive </w:t>
      </w:r>
      <w:r w:rsidR="00CA6FF2" w:rsidRPr="00697D77">
        <w:rPr>
          <w:rFonts w:ascii="Aptos" w:hAnsi="Aptos"/>
        </w:rPr>
        <w:t>browser-based consent control</w:t>
      </w:r>
      <w:r w:rsidR="00CA6FF2">
        <w:rPr>
          <w:rFonts w:ascii="Aptos" w:hAnsi="Aptos"/>
        </w:rPr>
        <w:t xml:space="preserve"> mechanism was </w:t>
      </w:r>
      <w:r w:rsidR="000905CD">
        <w:rPr>
          <w:rFonts w:ascii="Aptos" w:hAnsi="Aptos"/>
        </w:rPr>
        <w:t xml:space="preserve">selected by the market as </w:t>
      </w:r>
      <w:r w:rsidR="00A2618B">
        <w:rPr>
          <w:rFonts w:ascii="Aptos" w:hAnsi="Aptos"/>
        </w:rPr>
        <w:t>the best and only</w:t>
      </w:r>
      <w:r w:rsidR="000905CD">
        <w:rPr>
          <w:rFonts w:ascii="Aptos" w:hAnsi="Aptos"/>
        </w:rPr>
        <w:t xml:space="preserve"> option</w:t>
      </w:r>
      <w:r w:rsidR="00CA6FF2">
        <w:rPr>
          <w:rFonts w:ascii="Aptos" w:hAnsi="Aptos"/>
        </w:rPr>
        <w:t xml:space="preserve">, but because legislation </w:t>
      </w:r>
      <w:r w:rsidR="000905CD">
        <w:rPr>
          <w:rFonts w:ascii="Aptos" w:hAnsi="Aptos"/>
        </w:rPr>
        <w:t xml:space="preserve">had </w:t>
      </w:r>
      <w:r w:rsidR="00CA6FF2">
        <w:rPr>
          <w:rFonts w:ascii="Aptos" w:hAnsi="Aptos"/>
        </w:rPr>
        <w:t>imposed it</w:t>
      </w:r>
      <w:r w:rsidR="009E6671">
        <w:rPr>
          <w:rFonts w:ascii="Aptos" w:hAnsi="Aptos"/>
        </w:rPr>
        <w:t xml:space="preserve">. </w:t>
      </w:r>
      <w:r w:rsidR="006A5685" w:rsidRPr="003355F2">
        <w:rPr>
          <w:rFonts w:ascii="Aptos" w:hAnsi="Aptos"/>
          <w:b/>
          <w:bCs/>
        </w:rPr>
        <w:t xml:space="preserve">The coexistence </w:t>
      </w:r>
      <w:r w:rsidR="00EF660B" w:rsidRPr="003355F2">
        <w:rPr>
          <w:rFonts w:ascii="Aptos" w:hAnsi="Aptos"/>
          <w:b/>
          <w:bCs/>
        </w:rPr>
        <w:t xml:space="preserve">of </w:t>
      </w:r>
      <w:r w:rsidR="008241FF" w:rsidRPr="003355F2">
        <w:rPr>
          <w:rFonts w:ascii="Aptos" w:hAnsi="Aptos"/>
          <w:b/>
          <w:bCs/>
        </w:rPr>
        <w:t xml:space="preserve">various technical solutions </w:t>
      </w:r>
      <w:r w:rsidR="00451F8A" w:rsidRPr="003355F2">
        <w:rPr>
          <w:rFonts w:ascii="Aptos" w:hAnsi="Aptos"/>
          <w:b/>
          <w:bCs/>
        </w:rPr>
        <w:t xml:space="preserve">and the competitive </w:t>
      </w:r>
      <w:r w:rsidR="003355F2" w:rsidRPr="003355F2">
        <w:rPr>
          <w:rFonts w:ascii="Aptos" w:hAnsi="Aptos"/>
          <w:b/>
          <w:bCs/>
        </w:rPr>
        <w:t xml:space="preserve">market </w:t>
      </w:r>
      <w:r w:rsidR="00451F8A" w:rsidRPr="003355F2">
        <w:rPr>
          <w:rFonts w:ascii="Aptos" w:hAnsi="Aptos"/>
          <w:b/>
          <w:bCs/>
        </w:rPr>
        <w:t xml:space="preserve">dynamics </w:t>
      </w:r>
      <w:r w:rsidR="008241FF" w:rsidRPr="003355F2">
        <w:rPr>
          <w:rFonts w:ascii="Aptos" w:hAnsi="Aptos"/>
          <w:b/>
          <w:bCs/>
        </w:rPr>
        <w:t xml:space="preserve">will benefit the wider </w:t>
      </w:r>
      <w:r w:rsidR="00704E75" w:rsidRPr="00704E75">
        <w:rPr>
          <w:rFonts w:ascii="Aptos" w:hAnsi="Aptos"/>
          <w:b/>
          <w:bCs/>
        </w:rPr>
        <w:t xml:space="preserve">data-driven </w:t>
      </w:r>
      <w:r w:rsidR="008241FF" w:rsidRPr="003355F2">
        <w:rPr>
          <w:rFonts w:ascii="Aptos" w:hAnsi="Aptos"/>
          <w:b/>
          <w:bCs/>
        </w:rPr>
        <w:t>marketing ecosystem</w:t>
      </w:r>
      <w:r w:rsidR="007330F9" w:rsidRPr="003355F2">
        <w:rPr>
          <w:rFonts w:ascii="Aptos" w:hAnsi="Aptos"/>
          <w:b/>
          <w:bCs/>
        </w:rPr>
        <w:t xml:space="preserve"> as well as users</w:t>
      </w:r>
      <w:r w:rsidR="008241FF" w:rsidRPr="003355F2">
        <w:rPr>
          <w:rFonts w:ascii="Aptos" w:hAnsi="Aptos"/>
          <w:b/>
          <w:bCs/>
        </w:rPr>
        <w:t xml:space="preserve">. </w:t>
      </w:r>
    </w:p>
    <w:p w14:paraId="6A2F1B82" w14:textId="0C13D2AA" w:rsidR="007A1888" w:rsidRDefault="00020270" w:rsidP="00D45887">
      <w:pPr>
        <w:pStyle w:val="ListParagraph"/>
        <w:numPr>
          <w:ilvl w:val="0"/>
          <w:numId w:val="20"/>
        </w:numPr>
        <w:jc w:val="both"/>
        <w:rPr>
          <w:rFonts w:ascii="Aptos" w:hAnsi="Aptos"/>
        </w:rPr>
      </w:pPr>
      <w:r>
        <w:rPr>
          <w:rFonts w:ascii="Aptos" w:hAnsi="Aptos"/>
        </w:rPr>
        <w:t>To build on the abovementioned, a</w:t>
      </w:r>
      <w:r w:rsidR="00C307CB">
        <w:rPr>
          <w:rFonts w:ascii="Aptos" w:hAnsi="Aptos"/>
        </w:rPr>
        <w:t xml:space="preserve"> market-driven solution </w:t>
      </w:r>
      <w:r w:rsidR="001F2F3E">
        <w:rPr>
          <w:rFonts w:ascii="Aptos" w:hAnsi="Aptos"/>
        </w:rPr>
        <w:t xml:space="preserve">would allow a </w:t>
      </w:r>
      <w:r w:rsidR="001F2F3E" w:rsidRPr="00A32CD0">
        <w:rPr>
          <w:rFonts w:ascii="Aptos" w:hAnsi="Aptos"/>
          <w:b/>
          <w:bCs/>
        </w:rPr>
        <w:t>diversity of solutions</w:t>
      </w:r>
      <w:r w:rsidR="001F2F3E">
        <w:rPr>
          <w:rFonts w:ascii="Aptos" w:hAnsi="Aptos"/>
        </w:rPr>
        <w:t xml:space="preserve">, </w:t>
      </w:r>
      <w:r w:rsidR="000A174A" w:rsidRPr="00020270">
        <w:rPr>
          <w:rFonts w:ascii="Aptos" w:hAnsi="Aptos"/>
          <w:b/>
          <w:bCs/>
        </w:rPr>
        <w:t xml:space="preserve">catering to a </w:t>
      </w:r>
      <w:r w:rsidR="001F2F3E" w:rsidRPr="00020270">
        <w:rPr>
          <w:rFonts w:ascii="Aptos" w:hAnsi="Aptos"/>
          <w:b/>
          <w:bCs/>
        </w:rPr>
        <w:t>variety</w:t>
      </w:r>
      <w:r w:rsidR="000A174A" w:rsidRPr="00020270">
        <w:rPr>
          <w:rFonts w:ascii="Aptos" w:hAnsi="Aptos"/>
          <w:b/>
          <w:bCs/>
        </w:rPr>
        <w:t xml:space="preserve"> of users’ </w:t>
      </w:r>
      <w:r w:rsidR="00F02DC5" w:rsidRPr="00F02DC5">
        <w:rPr>
          <w:rFonts w:ascii="Aptos" w:hAnsi="Aptos"/>
          <w:b/>
          <w:bCs/>
        </w:rPr>
        <w:t>expectations</w:t>
      </w:r>
      <w:r w:rsidR="00F02DC5">
        <w:rPr>
          <w:rFonts w:ascii="Aptos" w:hAnsi="Aptos"/>
        </w:rPr>
        <w:t xml:space="preserve"> </w:t>
      </w:r>
      <w:r w:rsidR="000A174A" w:rsidRPr="00020270">
        <w:rPr>
          <w:rFonts w:ascii="Aptos" w:hAnsi="Aptos"/>
          <w:b/>
          <w:bCs/>
        </w:rPr>
        <w:t>and needs</w:t>
      </w:r>
      <w:r w:rsidR="00325AA9" w:rsidRPr="00020270">
        <w:rPr>
          <w:rFonts w:ascii="Aptos" w:hAnsi="Aptos"/>
          <w:b/>
          <w:bCs/>
        </w:rPr>
        <w:t>, a</w:t>
      </w:r>
      <w:r w:rsidR="0089337C" w:rsidRPr="00020270">
        <w:rPr>
          <w:rFonts w:ascii="Aptos" w:hAnsi="Aptos"/>
          <w:b/>
          <w:bCs/>
        </w:rPr>
        <w:t>nd the</w:t>
      </w:r>
      <w:r w:rsidR="0089337C">
        <w:rPr>
          <w:rFonts w:ascii="Aptos" w:hAnsi="Aptos"/>
        </w:rPr>
        <w:t xml:space="preserve"> </w:t>
      </w:r>
      <w:r w:rsidR="0089337C" w:rsidRPr="00A32CD0">
        <w:rPr>
          <w:rFonts w:ascii="Aptos" w:hAnsi="Aptos"/>
          <w:b/>
          <w:bCs/>
        </w:rPr>
        <w:t>competition could raise qualitative outcomes</w:t>
      </w:r>
      <w:r w:rsidR="00A32CD0">
        <w:rPr>
          <w:rFonts w:ascii="Aptos" w:hAnsi="Aptos"/>
          <w:b/>
          <w:bCs/>
        </w:rPr>
        <w:t>, raising the levels of user satisfaction</w:t>
      </w:r>
      <w:r>
        <w:rPr>
          <w:rFonts w:ascii="Aptos" w:hAnsi="Aptos"/>
          <w:b/>
          <w:bCs/>
        </w:rPr>
        <w:t xml:space="preserve"> </w:t>
      </w:r>
      <w:r w:rsidR="00477AFF">
        <w:rPr>
          <w:rFonts w:ascii="Aptos" w:hAnsi="Aptos"/>
          <w:b/>
          <w:bCs/>
        </w:rPr>
        <w:t>as well as</w:t>
      </w:r>
      <w:r>
        <w:rPr>
          <w:rFonts w:ascii="Aptos" w:hAnsi="Aptos"/>
          <w:b/>
          <w:bCs/>
        </w:rPr>
        <w:t xml:space="preserve"> data protection</w:t>
      </w:r>
      <w:r w:rsidR="00477AFF">
        <w:rPr>
          <w:rFonts w:ascii="Aptos" w:hAnsi="Aptos"/>
          <w:b/>
          <w:bCs/>
        </w:rPr>
        <w:t xml:space="preserve"> </w:t>
      </w:r>
      <w:r w:rsidR="005009C7">
        <w:rPr>
          <w:rFonts w:ascii="Aptos" w:hAnsi="Aptos"/>
          <w:b/>
          <w:bCs/>
        </w:rPr>
        <w:t xml:space="preserve">sector </w:t>
      </w:r>
      <w:r w:rsidR="00477AFF">
        <w:rPr>
          <w:rFonts w:ascii="Aptos" w:hAnsi="Aptos"/>
          <w:b/>
          <w:bCs/>
        </w:rPr>
        <w:t>standards</w:t>
      </w:r>
      <w:r w:rsidR="0089337C">
        <w:rPr>
          <w:rFonts w:ascii="Aptos" w:hAnsi="Aptos"/>
        </w:rPr>
        <w:t xml:space="preserve">. </w:t>
      </w:r>
      <w:r w:rsidR="00A32CD0">
        <w:rPr>
          <w:rFonts w:ascii="Aptos" w:hAnsi="Aptos"/>
        </w:rPr>
        <w:t xml:space="preserve">The sector’s </w:t>
      </w:r>
      <w:r w:rsidR="00A32CD0" w:rsidRPr="00A32CD0">
        <w:rPr>
          <w:rFonts w:ascii="Aptos" w:hAnsi="Aptos"/>
        </w:rPr>
        <w:t xml:space="preserve">longstanding experience shows that users value different types of personalisation depending on context, brand, </w:t>
      </w:r>
      <w:r w:rsidR="00A32CD0" w:rsidRPr="00A32CD0">
        <w:rPr>
          <w:rFonts w:ascii="Aptos" w:hAnsi="Aptos"/>
        </w:rPr>
        <w:lastRenderedPageBreak/>
        <w:t>and purpose. A one</w:t>
      </w:r>
      <w:r w:rsidR="00A32CD0" w:rsidRPr="00A32CD0">
        <w:rPr>
          <w:rFonts w:ascii="Cambria Math" w:hAnsi="Cambria Math" w:cs="Cambria Math"/>
        </w:rPr>
        <w:t>‑</w:t>
      </w:r>
      <w:r w:rsidR="00A32CD0" w:rsidRPr="00A32CD0">
        <w:rPr>
          <w:rFonts w:ascii="Aptos" w:hAnsi="Aptos"/>
        </w:rPr>
        <w:t>size</w:t>
      </w:r>
      <w:r w:rsidR="00A32CD0" w:rsidRPr="00A32CD0">
        <w:rPr>
          <w:rFonts w:ascii="Cambria Math" w:hAnsi="Cambria Math" w:cs="Cambria Math"/>
        </w:rPr>
        <w:t>‑</w:t>
      </w:r>
      <w:r w:rsidR="00A32CD0" w:rsidRPr="00A32CD0">
        <w:rPr>
          <w:rFonts w:ascii="Aptos" w:hAnsi="Aptos"/>
        </w:rPr>
        <w:t>fits</w:t>
      </w:r>
      <w:r w:rsidR="00A32CD0" w:rsidRPr="00A32CD0">
        <w:rPr>
          <w:rFonts w:ascii="Cambria Math" w:hAnsi="Cambria Math" w:cs="Cambria Math"/>
        </w:rPr>
        <w:t>‑</w:t>
      </w:r>
      <w:r w:rsidR="00A32CD0" w:rsidRPr="00A32CD0">
        <w:rPr>
          <w:rFonts w:ascii="Aptos" w:hAnsi="Aptos"/>
        </w:rPr>
        <w:t>all browser setting cannot capture this diversity of expectations</w:t>
      </w:r>
      <w:r w:rsidR="007843E3">
        <w:rPr>
          <w:rFonts w:ascii="Aptos" w:hAnsi="Aptos"/>
        </w:rPr>
        <w:t xml:space="preserve"> and needs</w:t>
      </w:r>
      <w:r w:rsidR="00505BAE">
        <w:rPr>
          <w:rFonts w:ascii="Aptos" w:hAnsi="Aptos"/>
        </w:rPr>
        <w:t xml:space="preserve">. </w:t>
      </w:r>
    </w:p>
    <w:p w14:paraId="479F4C49" w14:textId="7B577158" w:rsidR="00505BAE" w:rsidRPr="007047ED" w:rsidRDefault="007047ED" w:rsidP="00505BAE">
      <w:pPr>
        <w:jc w:val="both"/>
        <w:rPr>
          <w:rFonts w:ascii="Aptos" w:hAnsi="Aptos"/>
          <w:b/>
          <w:bCs/>
        </w:rPr>
      </w:pPr>
      <w:r>
        <w:rPr>
          <w:rFonts w:ascii="Aptos" w:hAnsi="Aptos"/>
        </w:rPr>
        <w:t xml:space="preserve">Instead of an exclusive </w:t>
      </w:r>
      <w:r w:rsidRPr="00697D77">
        <w:rPr>
          <w:rFonts w:ascii="Aptos" w:hAnsi="Aptos"/>
        </w:rPr>
        <w:t>browser-based consent control</w:t>
      </w:r>
      <w:r>
        <w:rPr>
          <w:rFonts w:ascii="Aptos" w:hAnsi="Aptos"/>
        </w:rPr>
        <w:t xml:space="preserve"> mechanism, FEDMA would support a </w:t>
      </w:r>
      <w:r w:rsidRPr="007047ED">
        <w:rPr>
          <w:rFonts w:ascii="Aptos" w:hAnsi="Aptos"/>
          <w:b/>
          <w:bCs/>
        </w:rPr>
        <w:t xml:space="preserve">balanced, </w:t>
      </w:r>
      <w:r w:rsidR="007843E3">
        <w:rPr>
          <w:rFonts w:ascii="Aptos" w:hAnsi="Aptos"/>
          <w:b/>
          <w:bCs/>
        </w:rPr>
        <w:t xml:space="preserve">market-driven and </w:t>
      </w:r>
      <w:r w:rsidRPr="007047ED">
        <w:rPr>
          <w:rFonts w:ascii="Aptos" w:hAnsi="Aptos"/>
          <w:b/>
          <w:bCs/>
        </w:rPr>
        <w:t>multi</w:t>
      </w:r>
      <w:r w:rsidR="008114D3">
        <w:rPr>
          <w:rFonts w:ascii="Aptos" w:hAnsi="Aptos"/>
          <w:b/>
          <w:bCs/>
        </w:rPr>
        <w:t>-techni</w:t>
      </w:r>
      <w:r w:rsidR="00137BE8">
        <w:rPr>
          <w:rFonts w:ascii="Aptos" w:hAnsi="Aptos"/>
          <w:b/>
          <w:bCs/>
        </w:rPr>
        <w:t>cal</w:t>
      </w:r>
      <w:r w:rsidRPr="007047ED">
        <w:rPr>
          <w:rFonts w:ascii="Aptos" w:hAnsi="Aptos"/>
          <w:b/>
          <w:bCs/>
        </w:rPr>
        <w:t xml:space="preserve">-solution developed </w:t>
      </w:r>
      <w:r w:rsidR="007843E3">
        <w:rPr>
          <w:rFonts w:ascii="Aptos" w:hAnsi="Aptos"/>
          <w:b/>
          <w:bCs/>
        </w:rPr>
        <w:t xml:space="preserve">by </w:t>
      </w:r>
      <w:r w:rsidR="000E44AB">
        <w:rPr>
          <w:rFonts w:ascii="Aptos" w:hAnsi="Aptos"/>
          <w:b/>
          <w:bCs/>
        </w:rPr>
        <w:t xml:space="preserve">standalone </w:t>
      </w:r>
      <w:r w:rsidR="007843E3">
        <w:rPr>
          <w:rFonts w:ascii="Aptos" w:hAnsi="Aptos"/>
          <w:b/>
          <w:bCs/>
        </w:rPr>
        <w:t xml:space="preserve">companies </w:t>
      </w:r>
      <w:r w:rsidR="000E44AB">
        <w:rPr>
          <w:rFonts w:ascii="Aptos" w:hAnsi="Aptos"/>
          <w:b/>
          <w:bCs/>
        </w:rPr>
        <w:t xml:space="preserve">or </w:t>
      </w:r>
      <w:r w:rsidRPr="007047ED">
        <w:rPr>
          <w:rFonts w:ascii="Aptos" w:hAnsi="Aptos"/>
          <w:b/>
          <w:bCs/>
        </w:rPr>
        <w:t xml:space="preserve">in collaboration with browser providers and taking account of the diversity of users’ needs and </w:t>
      </w:r>
      <w:r w:rsidR="00F02DC5">
        <w:rPr>
          <w:rFonts w:ascii="Aptos" w:hAnsi="Aptos"/>
          <w:b/>
          <w:bCs/>
        </w:rPr>
        <w:t>expectations</w:t>
      </w:r>
      <w:r w:rsidRPr="007047ED">
        <w:rPr>
          <w:rFonts w:ascii="Aptos" w:hAnsi="Aptos"/>
          <w:b/>
          <w:bCs/>
        </w:rPr>
        <w:t>.</w:t>
      </w:r>
    </w:p>
    <w:p w14:paraId="0A40F66D" w14:textId="4A86FA53" w:rsidR="00E740B3" w:rsidRDefault="00E740B3" w:rsidP="00742BC3">
      <w:pPr>
        <w:jc w:val="both"/>
        <w:rPr>
          <w:rFonts w:ascii="Aptos" w:hAnsi="Aptos"/>
          <w:b/>
          <w:bCs/>
          <w:color w:val="00B0F0"/>
          <w:sz w:val="28"/>
          <w:szCs w:val="28"/>
        </w:rPr>
      </w:pPr>
      <w:r>
        <w:rPr>
          <w:rFonts w:ascii="Aptos" w:hAnsi="Aptos"/>
          <w:b/>
          <w:bCs/>
          <w:color w:val="00B0F0"/>
          <w:sz w:val="28"/>
          <w:szCs w:val="28"/>
        </w:rPr>
        <w:t xml:space="preserve">Legal certainty </w:t>
      </w:r>
      <w:r w:rsidR="00EF7529">
        <w:rPr>
          <w:rFonts w:ascii="Aptos" w:hAnsi="Aptos"/>
          <w:b/>
          <w:bCs/>
          <w:color w:val="00B0F0"/>
          <w:sz w:val="28"/>
          <w:szCs w:val="28"/>
        </w:rPr>
        <w:t xml:space="preserve">through tech-neutral and simple identifiability criteria </w:t>
      </w:r>
      <w:r w:rsidR="00226563">
        <w:rPr>
          <w:rFonts w:ascii="Aptos" w:hAnsi="Aptos"/>
          <w:b/>
          <w:bCs/>
          <w:color w:val="00B0F0"/>
          <w:sz w:val="28"/>
          <w:szCs w:val="28"/>
        </w:rPr>
        <w:t>are</w:t>
      </w:r>
      <w:r w:rsidR="003D047A">
        <w:rPr>
          <w:rFonts w:ascii="Aptos" w:hAnsi="Aptos"/>
          <w:b/>
          <w:bCs/>
          <w:color w:val="00B0F0"/>
          <w:sz w:val="28"/>
          <w:szCs w:val="28"/>
        </w:rPr>
        <w:t xml:space="preserve"> key to innovation and</w:t>
      </w:r>
      <w:r w:rsidR="00E76DEA">
        <w:rPr>
          <w:rFonts w:ascii="Aptos" w:hAnsi="Aptos"/>
          <w:b/>
          <w:bCs/>
          <w:color w:val="00B0F0"/>
          <w:sz w:val="28"/>
          <w:szCs w:val="28"/>
        </w:rPr>
        <w:t xml:space="preserve"> EU economic</w:t>
      </w:r>
      <w:r w:rsidR="003D047A">
        <w:rPr>
          <w:rFonts w:ascii="Aptos" w:hAnsi="Aptos"/>
          <w:b/>
          <w:bCs/>
          <w:color w:val="00B0F0"/>
          <w:sz w:val="28"/>
          <w:szCs w:val="28"/>
        </w:rPr>
        <w:t xml:space="preserve"> growth</w:t>
      </w:r>
    </w:p>
    <w:p w14:paraId="34FE084F" w14:textId="56DD48B0" w:rsidR="0065108F" w:rsidRPr="0065108F" w:rsidRDefault="0065108F" w:rsidP="0065108F">
      <w:pPr>
        <w:pStyle w:val="ListParagraph"/>
        <w:numPr>
          <w:ilvl w:val="0"/>
          <w:numId w:val="15"/>
        </w:numPr>
        <w:jc w:val="both"/>
        <w:rPr>
          <w:rFonts w:ascii="Aptos" w:hAnsi="Aptos"/>
          <w:b/>
          <w:bCs/>
          <w:color w:val="002060"/>
        </w:rPr>
      </w:pPr>
      <w:r w:rsidRPr="0065108F">
        <w:rPr>
          <w:rFonts w:ascii="Aptos" w:hAnsi="Aptos"/>
          <w:b/>
          <w:bCs/>
          <w:color w:val="002060"/>
        </w:rPr>
        <w:t xml:space="preserve">Targeted amendments under Art. 4(1) GDPR </w:t>
      </w:r>
      <w:r w:rsidR="006E13BF">
        <w:rPr>
          <w:rFonts w:ascii="Aptos" w:hAnsi="Aptos"/>
          <w:b/>
          <w:bCs/>
          <w:color w:val="002060"/>
        </w:rPr>
        <w:t xml:space="preserve">and 41a </w:t>
      </w:r>
      <w:r w:rsidR="00395BE7">
        <w:rPr>
          <w:rFonts w:ascii="Aptos" w:hAnsi="Aptos"/>
          <w:b/>
          <w:bCs/>
          <w:color w:val="002060"/>
        </w:rPr>
        <w:t>‘amended’</w:t>
      </w:r>
      <w:r w:rsidR="00082933">
        <w:rPr>
          <w:rFonts w:ascii="Aptos" w:hAnsi="Aptos"/>
          <w:b/>
          <w:bCs/>
          <w:color w:val="002060"/>
        </w:rPr>
        <w:t xml:space="preserve"> GDPR</w:t>
      </w:r>
      <w:r w:rsidR="00DB5D3D">
        <w:rPr>
          <w:rFonts w:ascii="Aptos" w:hAnsi="Aptos"/>
          <w:b/>
          <w:bCs/>
          <w:color w:val="002060"/>
        </w:rPr>
        <w:t xml:space="preserve">: the definition of personal data </w:t>
      </w:r>
    </w:p>
    <w:p w14:paraId="21E3D060" w14:textId="0603491D" w:rsidR="00D2014A" w:rsidRDefault="00D83B13" w:rsidP="00742BC3">
      <w:pPr>
        <w:jc w:val="both"/>
        <w:rPr>
          <w:rFonts w:ascii="Aptos" w:hAnsi="Aptos"/>
        </w:rPr>
      </w:pPr>
      <w:r w:rsidRPr="00690BB6">
        <w:rPr>
          <w:rFonts w:ascii="Aptos" w:hAnsi="Aptos"/>
          <w:b/>
          <w:bCs/>
        </w:rPr>
        <w:t>W</w:t>
      </w:r>
      <w:r w:rsidR="008D1E63" w:rsidRPr="00690BB6">
        <w:rPr>
          <w:rFonts w:ascii="Aptos" w:hAnsi="Aptos"/>
          <w:b/>
          <w:bCs/>
        </w:rPr>
        <w:t xml:space="preserve">e welcome the </w:t>
      </w:r>
      <w:r w:rsidR="006B2DAD" w:rsidRPr="00690BB6">
        <w:rPr>
          <w:rFonts w:ascii="Aptos" w:hAnsi="Aptos"/>
          <w:b/>
          <w:bCs/>
        </w:rPr>
        <w:t>streamlining</w:t>
      </w:r>
      <w:r w:rsidR="008D1E63" w:rsidRPr="00690BB6">
        <w:rPr>
          <w:rFonts w:ascii="Aptos" w:hAnsi="Aptos"/>
          <w:b/>
          <w:bCs/>
        </w:rPr>
        <w:t xml:space="preserve"> of</w:t>
      </w:r>
      <w:r w:rsidR="006B2DAD" w:rsidRPr="00690BB6">
        <w:rPr>
          <w:rFonts w:ascii="Aptos" w:hAnsi="Aptos"/>
          <w:b/>
          <w:bCs/>
        </w:rPr>
        <w:t xml:space="preserve"> the definition of personal data </w:t>
      </w:r>
      <w:r w:rsidR="00FD7047" w:rsidRPr="00690BB6">
        <w:rPr>
          <w:rFonts w:ascii="Aptos" w:hAnsi="Aptos"/>
          <w:b/>
          <w:bCs/>
        </w:rPr>
        <w:t xml:space="preserve">in line </w:t>
      </w:r>
      <w:r w:rsidR="006B2DAD" w:rsidRPr="00690BB6">
        <w:rPr>
          <w:rFonts w:ascii="Aptos" w:hAnsi="Aptos"/>
          <w:b/>
          <w:bCs/>
        </w:rPr>
        <w:t>with the recent SRB ruling</w:t>
      </w:r>
      <w:r w:rsidR="00F71C6D">
        <w:rPr>
          <w:rStyle w:val="FootnoteReference"/>
          <w:rFonts w:ascii="Aptos" w:hAnsi="Aptos"/>
          <w:b/>
          <w:bCs/>
        </w:rPr>
        <w:footnoteReference w:id="7"/>
      </w:r>
      <w:r w:rsidR="006B2DAD">
        <w:rPr>
          <w:rFonts w:ascii="Aptos" w:hAnsi="Aptos"/>
        </w:rPr>
        <w:t xml:space="preserve"> (</w:t>
      </w:r>
      <w:r w:rsidRPr="00D83B13">
        <w:rPr>
          <w:rFonts w:ascii="Aptos" w:hAnsi="Aptos"/>
        </w:rPr>
        <w:t>C-413/23 P</w:t>
      </w:r>
      <w:r w:rsidR="006B2DAD">
        <w:rPr>
          <w:rFonts w:ascii="Aptos" w:hAnsi="Aptos"/>
        </w:rPr>
        <w:t xml:space="preserve">), </w:t>
      </w:r>
      <w:r w:rsidR="00F52C8C" w:rsidRPr="00F52C8C">
        <w:rPr>
          <w:rFonts w:ascii="Aptos" w:hAnsi="Aptos"/>
        </w:rPr>
        <w:t>which codifies the relative approach to identifiability and thereby enhances legal certainty across the</w:t>
      </w:r>
      <w:r w:rsidR="00F52C8C">
        <w:rPr>
          <w:rFonts w:ascii="Aptos" w:hAnsi="Aptos"/>
        </w:rPr>
        <w:t xml:space="preserve"> EU</w:t>
      </w:r>
      <w:r w:rsidR="00E91589">
        <w:rPr>
          <w:rFonts w:ascii="Aptos" w:hAnsi="Aptos"/>
        </w:rPr>
        <w:t>.</w:t>
      </w:r>
      <w:r w:rsidR="0018407D">
        <w:rPr>
          <w:rFonts w:ascii="Aptos" w:hAnsi="Aptos"/>
        </w:rPr>
        <w:t xml:space="preserve"> </w:t>
      </w:r>
      <w:commentRangeStart w:id="1"/>
      <w:r w:rsidR="009B5346">
        <w:rPr>
          <w:rFonts w:ascii="Aptos" w:hAnsi="Aptos"/>
        </w:rPr>
        <w:t xml:space="preserve">This legislative </w:t>
      </w:r>
      <w:r w:rsidR="00FC7F7A">
        <w:rPr>
          <w:rFonts w:ascii="Aptos" w:hAnsi="Aptos"/>
        </w:rPr>
        <w:t>development</w:t>
      </w:r>
      <w:r w:rsidR="00F953CC">
        <w:rPr>
          <w:rFonts w:ascii="Aptos" w:hAnsi="Aptos"/>
        </w:rPr>
        <w:t xml:space="preserve"> will allow for better results</w:t>
      </w:r>
      <w:r w:rsidR="00416128">
        <w:rPr>
          <w:rFonts w:ascii="Aptos" w:hAnsi="Aptos"/>
        </w:rPr>
        <w:t xml:space="preserve"> when training AI, which will boost innovation in the EU economy. </w:t>
      </w:r>
      <w:commentRangeEnd w:id="1"/>
      <w:r w:rsidR="00AD2A6F">
        <w:rPr>
          <w:rStyle w:val="CommentReference"/>
        </w:rPr>
        <w:commentReference w:id="1"/>
      </w:r>
      <w:r w:rsidR="00416128">
        <w:rPr>
          <w:rFonts w:ascii="Aptos" w:hAnsi="Aptos"/>
        </w:rPr>
        <w:t>Besides, the amendment</w:t>
      </w:r>
      <w:r w:rsidR="00FC7F7A">
        <w:rPr>
          <w:rFonts w:ascii="Aptos" w:hAnsi="Aptos"/>
        </w:rPr>
        <w:t xml:space="preserve"> </w:t>
      </w:r>
      <w:r w:rsidR="007E73DB">
        <w:rPr>
          <w:rFonts w:ascii="Aptos" w:hAnsi="Aptos"/>
        </w:rPr>
        <w:t>creates space for</w:t>
      </w:r>
      <w:r w:rsidR="00FC7F7A">
        <w:rPr>
          <w:rFonts w:ascii="Aptos" w:hAnsi="Aptos"/>
        </w:rPr>
        <w:t xml:space="preserve"> </w:t>
      </w:r>
      <w:r w:rsidR="00AE219A">
        <w:rPr>
          <w:rFonts w:ascii="Aptos" w:hAnsi="Aptos"/>
        </w:rPr>
        <w:t xml:space="preserve">the adoption of </w:t>
      </w:r>
      <w:r w:rsidR="00FC7F7A">
        <w:rPr>
          <w:rFonts w:ascii="Aptos" w:hAnsi="Aptos"/>
        </w:rPr>
        <w:t xml:space="preserve">Privacy Enhancing Technologies </w:t>
      </w:r>
      <w:r w:rsidR="00EE1407">
        <w:rPr>
          <w:rFonts w:ascii="Aptos" w:hAnsi="Aptos"/>
        </w:rPr>
        <w:t>(PETs)</w:t>
      </w:r>
      <w:r w:rsidR="00C00669">
        <w:rPr>
          <w:rStyle w:val="FootnoteReference"/>
          <w:rFonts w:ascii="Aptos" w:hAnsi="Aptos"/>
        </w:rPr>
        <w:footnoteReference w:id="8"/>
      </w:r>
      <w:r w:rsidR="007C58D5">
        <w:rPr>
          <w:rFonts w:ascii="Aptos" w:hAnsi="Aptos"/>
        </w:rPr>
        <w:t>, such as pseudonymisation</w:t>
      </w:r>
      <w:r w:rsidR="00F26D5B">
        <w:rPr>
          <w:rFonts w:ascii="Aptos" w:hAnsi="Aptos"/>
        </w:rPr>
        <w:t>, benefitting companies</w:t>
      </w:r>
      <w:r w:rsidR="0051216B">
        <w:rPr>
          <w:rFonts w:ascii="Aptos" w:hAnsi="Aptos"/>
        </w:rPr>
        <w:t xml:space="preserve"> and consumers alike. </w:t>
      </w:r>
      <w:r w:rsidR="00BF00D9" w:rsidRPr="00BF00D9">
        <w:rPr>
          <w:rFonts w:ascii="Aptos" w:hAnsi="Aptos"/>
        </w:rPr>
        <w:t xml:space="preserve">PETs operationalise core </w:t>
      </w:r>
      <w:r w:rsidR="005001BB">
        <w:rPr>
          <w:rFonts w:ascii="Aptos" w:hAnsi="Aptos"/>
        </w:rPr>
        <w:t>GDPR</w:t>
      </w:r>
      <w:r w:rsidR="00BF00D9" w:rsidRPr="00BF00D9">
        <w:rPr>
          <w:rFonts w:ascii="Aptos" w:hAnsi="Aptos"/>
        </w:rPr>
        <w:t xml:space="preserve"> data protection principles (such as data minimisation and privacy</w:t>
      </w:r>
      <w:r w:rsidR="00BF00D9" w:rsidRPr="00BF00D9">
        <w:rPr>
          <w:rFonts w:ascii="Cambria Math" w:hAnsi="Cambria Math" w:cs="Cambria Math"/>
        </w:rPr>
        <w:t>‑</w:t>
      </w:r>
      <w:r w:rsidR="00BF00D9" w:rsidRPr="00BF00D9">
        <w:rPr>
          <w:rFonts w:ascii="Aptos" w:hAnsi="Aptos"/>
        </w:rPr>
        <w:t>by</w:t>
      </w:r>
      <w:r w:rsidR="00BF00D9" w:rsidRPr="00BF00D9">
        <w:rPr>
          <w:rFonts w:ascii="Cambria Math" w:hAnsi="Cambria Math" w:cs="Cambria Math"/>
        </w:rPr>
        <w:t>‑</w:t>
      </w:r>
      <w:r w:rsidR="00BF00D9" w:rsidRPr="00BF00D9">
        <w:rPr>
          <w:rFonts w:ascii="Aptos" w:hAnsi="Aptos"/>
        </w:rPr>
        <w:t>design) in business systems, thereby strengthening regulatory resilience, and embed safeguards into the way data is collected, used and stored</w:t>
      </w:r>
      <w:r w:rsidR="00BF00D9" w:rsidRPr="00583C6C">
        <w:rPr>
          <w:rFonts w:ascii="Aptos" w:hAnsi="Aptos"/>
        </w:rPr>
        <w:t xml:space="preserve">. </w:t>
      </w:r>
      <w:r w:rsidR="00585382" w:rsidRPr="00583C6C">
        <w:rPr>
          <w:rFonts w:ascii="Aptos" w:hAnsi="Aptos"/>
        </w:rPr>
        <w:t>As highlighted by the OECD</w:t>
      </w:r>
      <w:r w:rsidR="00585382" w:rsidRPr="00583C6C">
        <w:rPr>
          <w:rStyle w:val="FootnoteReference"/>
          <w:rFonts w:ascii="Aptos" w:hAnsi="Aptos"/>
        </w:rPr>
        <w:footnoteReference w:id="9"/>
      </w:r>
      <w:r w:rsidR="00585382" w:rsidRPr="00583C6C">
        <w:rPr>
          <w:rFonts w:ascii="Aptos" w:hAnsi="Aptos"/>
        </w:rPr>
        <w:t>, PETs have proven successful in safeguarding privacy and personal data protection by enabling data utility while protecting confidentiality and trust in processing.</w:t>
      </w:r>
      <w:r w:rsidR="007C58D5" w:rsidRPr="00583C6C">
        <w:rPr>
          <w:rFonts w:ascii="Aptos" w:hAnsi="Aptos"/>
        </w:rPr>
        <w:t xml:space="preserve"> </w:t>
      </w:r>
      <w:r w:rsidR="00CB2F3E" w:rsidRPr="00583C6C">
        <w:rPr>
          <w:rFonts w:ascii="Aptos" w:hAnsi="Aptos"/>
        </w:rPr>
        <w:t xml:space="preserve"> </w:t>
      </w:r>
      <w:r w:rsidR="00B75B6D" w:rsidRPr="00583C6C">
        <w:rPr>
          <w:rFonts w:ascii="Aptos" w:hAnsi="Aptos"/>
        </w:rPr>
        <w:t>In line with</w:t>
      </w:r>
      <w:r w:rsidR="00404672">
        <w:rPr>
          <w:rFonts w:ascii="Aptos" w:hAnsi="Aptos"/>
        </w:rPr>
        <w:t xml:space="preserve"> the</w:t>
      </w:r>
      <w:r w:rsidR="00B75B6D" w:rsidRPr="00583C6C">
        <w:rPr>
          <w:rFonts w:ascii="Aptos" w:hAnsi="Aptos"/>
        </w:rPr>
        <w:t xml:space="preserve"> OECD recommendations, policy makers and privacy enforcement authorities will increasingly need to consider how the use of PETs impacts regulatory assessments under privacy and data protection frameworks, recognising their contribution to privacy</w:t>
      </w:r>
      <w:r w:rsidR="00B75B6D" w:rsidRPr="00583C6C">
        <w:rPr>
          <w:rFonts w:ascii="Cambria Math" w:hAnsi="Cambria Math" w:cs="Cambria Math"/>
        </w:rPr>
        <w:t>‑</w:t>
      </w:r>
      <w:r w:rsidR="00B75B6D" w:rsidRPr="00583C6C">
        <w:rPr>
          <w:rFonts w:ascii="Aptos" w:hAnsi="Aptos"/>
        </w:rPr>
        <w:t>protective outcomes.</w:t>
      </w:r>
      <w:r w:rsidR="00B75B6D" w:rsidRPr="00583C6C">
        <w:rPr>
          <w:rStyle w:val="FootnoteReference"/>
          <w:rFonts w:ascii="Aptos" w:hAnsi="Aptos"/>
        </w:rPr>
        <w:footnoteReference w:id="10"/>
      </w:r>
      <w:r w:rsidR="00690BB6">
        <w:rPr>
          <w:rFonts w:ascii="Aptos" w:hAnsi="Aptos"/>
        </w:rPr>
        <w:t xml:space="preserve"> </w:t>
      </w:r>
      <w:r w:rsidR="00690BB6" w:rsidRPr="00690BB6">
        <w:rPr>
          <w:rFonts w:ascii="Aptos" w:hAnsi="Aptos"/>
          <w:b/>
          <w:bCs/>
        </w:rPr>
        <w:t xml:space="preserve">By embedding PETs into the Digital Omnibus, the </w:t>
      </w:r>
      <w:r w:rsidR="009E4742" w:rsidRPr="00690BB6">
        <w:rPr>
          <w:rFonts w:ascii="Aptos" w:hAnsi="Aptos"/>
          <w:b/>
          <w:bCs/>
        </w:rPr>
        <w:t>E</w:t>
      </w:r>
      <w:r w:rsidR="009E4742">
        <w:rPr>
          <w:rFonts w:ascii="Aptos" w:hAnsi="Aptos"/>
          <w:b/>
          <w:bCs/>
        </w:rPr>
        <w:t>uropean Commission</w:t>
      </w:r>
      <w:r w:rsidR="00690BB6" w:rsidRPr="00690BB6">
        <w:rPr>
          <w:rFonts w:ascii="Aptos" w:hAnsi="Aptos"/>
          <w:b/>
          <w:bCs/>
        </w:rPr>
        <w:t xml:space="preserve"> not only reinforces trust but also unlocks innovation potential, ensuring that privacy and </w:t>
      </w:r>
      <w:r w:rsidR="009E4742">
        <w:rPr>
          <w:rFonts w:ascii="Aptos" w:hAnsi="Aptos"/>
          <w:b/>
          <w:bCs/>
        </w:rPr>
        <w:t>(</w:t>
      </w:r>
      <w:r w:rsidR="00651B26">
        <w:rPr>
          <w:rFonts w:ascii="Aptos" w:hAnsi="Aptos"/>
          <w:b/>
          <w:bCs/>
        </w:rPr>
        <w:t>international</w:t>
      </w:r>
      <w:r w:rsidR="009E4742">
        <w:rPr>
          <w:rFonts w:ascii="Aptos" w:hAnsi="Aptos"/>
          <w:b/>
          <w:bCs/>
        </w:rPr>
        <w:t>)</w:t>
      </w:r>
      <w:r w:rsidR="00651B26">
        <w:rPr>
          <w:rFonts w:ascii="Aptos" w:hAnsi="Aptos"/>
          <w:b/>
          <w:bCs/>
        </w:rPr>
        <w:t xml:space="preserve"> </w:t>
      </w:r>
      <w:r w:rsidR="00690BB6" w:rsidRPr="00690BB6">
        <w:rPr>
          <w:rFonts w:ascii="Aptos" w:hAnsi="Aptos"/>
          <w:b/>
          <w:bCs/>
        </w:rPr>
        <w:t>competitiveness advance hand in hand.</w:t>
      </w:r>
    </w:p>
    <w:p w14:paraId="76B41E0F" w14:textId="676A9103" w:rsidR="00C30F8D" w:rsidRDefault="00FC4687" w:rsidP="00742BC3">
      <w:pPr>
        <w:jc w:val="both"/>
        <w:rPr>
          <w:rFonts w:ascii="Aptos" w:hAnsi="Aptos"/>
        </w:rPr>
      </w:pPr>
      <w:r>
        <w:rPr>
          <w:rFonts w:ascii="Aptos" w:hAnsi="Aptos"/>
          <w:b/>
          <w:bCs/>
        </w:rPr>
        <w:t>To strengthen the amendment in Art. 4(1) GDPR, w</w:t>
      </w:r>
      <w:r w:rsidR="00652522" w:rsidRPr="00D52A37">
        <w:rPr>
          <w:rFonts w:ascii="Aptos" w:hAnsi="Aptos"/>
          <w:b/>
          <w:bCs/>
        </w:rPr>
        <w:t xml:space="preserve">e call for recital 26 GDPR </w:t>
      </w:r>
      <w:r w:rsidR="004B7D69" w:rsidRPr="00D52A37">
        <w:rPr>
          <w:rFonts w:ascii="Aptos" w:hAnsi="Aptos"/>
          <w:b/>
          <w:bCs/>
        </w:rPr>
        <w:t xml:space="preserve">to be aligned not only with the recent SRB ruling, </w:t>
      </w:r>
      <w:r w:rsidR="005248E6" w:rsidRPr="00D52A37">
        <w:rPr>
          <w:rFonts w:ascii="Aptos" w:hAnsi="Aptos"/>
          <w:b/>
          <w:bCs/>
        </w:rPr>
        <w:t>but above all with the tech-agnostic character of the GDPR.</w:t>
      </w:r>
      <w:r w:rsidR="005248E6">
        <w:rPr>
          <w:rFonts w:ascii="Aptos" w:hAnsi="Aptos"/>
        </w:rPr>
        <w:t xml:space="preserve"> A </w:t>
      </w:r>
      <w:r w:rsidR="00CA1BBE">
        <w:rPr>
          <w:rFonts w:ascii="Aptos" w:hAnsi="Aptos"/>
        </w:rPr>
        <w:t xml:space="preserve">tech-neutral </w:t>
      </w:r>
      <w:r w:rsidR="004B3EA0">
        <w:rPr>
          <w:rFonts w:ascii="Aptos" w:hAnsi="Aptos"/>
        </w:rPr>
        <w:t>GDPR</w:t>
      </w:r>
      <w:r w:rsidR="00CA1BBE">
        <w:rPr>
          <w:rFonts w:ascii="Aptos" w:hAnsi="Aptos"/>
        </w:rPr>
        <w:t xml:space="preserve"> is essential to foster innovation, growth and competition in the EU, because rigid </w:t>
      </w:r>
      <w:r w:rsidR="00A908D6">
        <w:rPr>
          <w:rFonts w:ascii="Aptos" w:hAnsi="Aptos"/>
        </w:rPr>
        <w:t xml:space="preserve">technological prescriptions risk stifling innovation and burdening companies with outdated compliance models. </w:t>
      </w:r>
      <w:r w:rsidR="00D6713E">
        <w:rPr>
          <w:rFonts w:ascii="Aptos" w:hAnsi="Aptos"/>
        </w:rPr>
        <w:t>For instance, recital 26 GDPR refers to the ‘singling out’ technique</w:t>
      </w:r>
      <w:r w:rsidR="00727B24">
        <w:rPr>
          <w:rFonts w:ascii="Aptos" w:hAnsi="Aptos"/>
        </w:rPr>
        <w:t xml:space="preserve">, which nowadays does not necessarily lead to identifiability </w:t>
      </w:r>
      <w:r w:rsidR="00396A5E">
        <w:rPr>
          <w:rFonts w:ascii="Aptos" w:hAnsi="Aptos"/>
        </w:rPr>
        <w:t>when state-of-the art solutions are used</w:t>
      </w:r>
      <w:r w:rsidR="00A1100E">
        <w:rPr>
          <w:rFonts w:ascii="Aptos" w:hAnsi="Aptos"/>
        </w:rPr>
        <w:t>.</w:t>
      </w:r>
      <w:r w:rsidR="00D872B9">
        <w:rPr>
          <w:rFonts w:ascii="Aptos" w:hAnsi="Aptos"/>
        </w:rPr>
        <w:t xml:space="preserve"> Yet, t</w:t>
      </w:r>
      <w:r w:rsidR="00A1100E">
        <w:rPr>
          <w:rFonts w:ascii="Aptos" w:hAnsi="Aptos"/>
        </w:rPr>
        <w:t>he ‘singling out’ technique</w:t>
      </w:r>
      <w:r w:rsidR="00396A5E">
        <w:rPr>
          <w:rFonts w:ascii="Aptos" w:hAnsi="Aptos"/>
        </w:rPr>
        <w:t xml:space="preserve"> remains </w:t>
      </w:r>
      <w:r w:rsidR="00A1100E">
        <w:rPr>
          <w:rFonts w:ascii="Aptos" w:hAnsi="Aptos"/>
        </w:rPr>
        <w:t>a key method to underpin</w:t>
      </w:r>
      <w:r w:rsidR="00D52A37">
        <w:rPr>
          <w:rFonts w:ascii="Aptos" w:hAnsi="Aptos"/>
        </w:rPr>
        <w:t xml:space="preserve"> many </w:t>
      </w:r>
      <w:commentRangeStart w:id="2"/>
      <w:r w:rsidR="00D52A37">
        <w:rPr>
          <w:rFonts w:ascii="Aptos" w:hAnsi="Aptos"/>
        </w:rPr>
        <w:t>legitimate processes</w:t>
      </w:r>
      <w:commentRangeEnd w:id="2"/>
      <w:r w:rsidR="00110F81">
        <w:rPr>
          <w:rStyle w:val="CommentReference"/>
        </w:rPr>
        <w:commentReference w:id="2"/>
      </w:r>
      <w:r w:rsidR="00FB55B7">
        <w:rPr>
          <w:rFonts w:ascii="Aptos" w:hAnsi="Aptos"/>
        </w:rPr>
        <w:t xml:space="preserve"> </w:t>
      </w:r>
      <w:r w:rsidR="00FB55B7">
        <w:rPr>
          <w:rFonts w:ascii="Aptos" w:hAnsi="Aptos"/>
        </w:rPr>
        <w:lastRenderedPageBreak/>
        <w:t>that feed E</w:t>
      </w:r>
      <w:r w:rsidR="00EE48D4">
        <w:rPr>
          <w:rFonts w:ascii="Aptos" w:hAnsi="Aptos"/>
        </w:rPr>
        <w:t>uropean</w:t>
      </w:r>
      <w:r w:rsidR="00FB55B7">
        <w:rPr>
          <w:rFonts w:ascii="Aptos" w:hAnsi="Aptos"/>
        </w:rPr>
        <w:t xml:space="preserve"> economic growth</w:t>
      </w:r>
      <w:r w:rsidR="00D52A37">
        <w:rPr>
          <w:rFonts w:ascii="Aptos" w:hAnsi="Aptos"/>
        </w:rPr>
        <w:t xml:space="preserve">. </w:t>
      </w:r>
      <w:commentRangeStart w:id="3"/>
      <w:r w:rsidR="005B7FB3" w:rsidRPr="005B7FB3">
        <w:rPr>
          <w:rFonts w:ascii="Aptos" w:hAnsi="Aptos"/>
        </w:rPr>
        <w:t>By remaining technology</w:t>
      </w:r>
      <w:r w:rsidR="005B7FB3" w:rsidRPr="005B7FB3">
        <w:rPr>
          <w:rFonts w:ascii="Cambria Math" w:hAnsi="Cambria Math" w:cs="Cambria Math"/>
        </w:rPr>
        <w:t>‑</w:t>
      </w:r>
      <w:r w:rsidR="005B7FB3" w:rsidRPr="005B7FB3">
        <w:rPr>
          <w:rFonts w:ascii="Aptos" w:hAnsi="Aptos"/>
        </w:rPr>
        <w:t xml:space="preserve">neutral, the GDPR </w:t>
      </w:r>
      <w:r w:rsidR="005B1512">
        <w:rPr>
          <w:rFonts w:ascii="Aptos" w:hAnsi="Aptos"/>
        </w:rPr>
        <w:t xml:space="preserve">also </w:t>
      </w:r>
      <w:r w:rsidR="005B7FB3" w:rsidRPr="005B7FB3">
        <w:rPr>
          <w:rFonts w:ascii="Aptos" w:hAnsi="Aptos"/>
        </w:rPr>
        <w:t>becomes future</w:t>
      </w:r>
      <w:r w:rsidR="005B7FB3" w:rsidRPr="005B7FB3">
        <w:rPr>
          <w:rFonts w:ascii="Cambria Math" w:hAnsi="Cambria Math" w:cs="Cambria Math"/>
        </w:rPr>
        <w:t>‑</w:t>
      </w:r>
      <w:r w:rsidR="005B7FB3" w:rsidRPr="005B7FB3">
        <w:rPr>
          <w:rFonts w:ascii="Aptos" w:hAnsi="Aptos"/>
        </w:rPr>
        <w:t xml:space="preserve">proof against evolving </w:t>
      </w:r>
      <w:r w:rsidR="005B7FB3">
        <w:rPr>
          <w:rFonts w:ascii="Aptos" w:hAnsi="Aptos"/>
        </w:rPr>
        <w:t xml:space="preserve">technology </w:t>
      </w:r>
      <w:r w:rsidR="005B7FB3" w:rsidRPr="005B7FB3">
        <w:rPr>
          <w:rFonts w:ascii="Aptos" w:hAnsi="Aptos"/>
        </w:rPr>
        <w:t>and guarantees consistent legal application, allowing businesses to carry innovation through to market</w:t>
      </w:r>
      <w:r w:rsidR="005B7FB3">
        <w:rPr>
          <w:rFonts w:ascii="Aptos" w:hAnsi="Aptos"/>
        </w:rPr>
        <w:t>, benefitting the</w:t>
      </w:r>
      <w:r w:rsidR="007C655D">
        <w:rPr>
          <w:rFonts w:ascii="Aptos" w:hAnsi="Aptos"/>
        </w:rPr>
        <w:t xml:space="preserve"> society as a whole</w:t>
      </w:r>
      <w:r w:rsidR="00570DF8">
        <w:rPr>
          <w:rFonts w:ascii="Aptos" w:hAnsi="Aptos"/>
        </w:rPr>
        <w:t xml:space="preserve"> and guaranteeing a competitive spot in international markets</w:t>
      </w:r>
      <w:r w:rsidR="005B7FB3" w:rsidRPr="005B7FB3">
        <w:rPr>
          <w:rFonts w:ascii="Aptos" w:hAnsi="Aptos"/>
        </w:rPr>
        <w:t>.</w:t>
      </w:r>
      <w:r w:rsidR="005B7FB3">
        <w:rPr>
          <w:rFonts w:ascii="Aptos" w:hAnsi="Aptos"/>
        </w:rPr>
        <w:t xml:space="preserve"> </w:t>
      </w:r>
      <w:commentRangeEnd w:id="3"/>
      <w:r w:rsidR="007C655D">
        <w:rPr>
          <w:rStyle w:val="CommentReference"/>
        </w:rPr>
        <w:commentReference w:id="3"/>
      </w:r>
      <w:commentRangeStart w:id="4"/>
      <w:r w:rsidR="00454040">
        <w:rPr>
          <w:rFonts w:ascii="Aptos" w:hAnsi="Aptos"/>
        </w:rPr>
        <w:t>More concretely</w:t>
      </w:r>
      <w:r w:rsidR="00641298">
        <w:rPr>
          <w:rFonts w:ascii="Aptos" w:hAnsi="Aptos"/>
        </w:rPr>
        <w:t xml:space="preserve">, </w:t>
      </w:r>
      <w:r w:rsidR="00F20ABC">
        <w:rPr>
          <w:rFonts w:ascii="Aptos" w:hAnsi="Aptos"/>
        </w:rPr>
        <w:t xml:space="preserve">we </w:t>
      </w:r>
      <w:r w:rsidR="00557354">
        <w:rPr>
          <w:rFonts w:ascii="Aptos" w:hAnsi="Aptos"/>
        </w:rPr>
        <w:t>suggest</w:t>
      </w:r>
      <w:r w:rsidR="00641298">
        <w:rPr>
          <w:rFonts w:ascii="Aptos" w:hAnsi="Aptos"/>
        </w:rPr>
        <w:t xml:space="preserve"> delet</w:t>
      </w:r>
      <w:r w:rsidR="00110F81">
        <w:rPr>
          <w:rFonts w:ascii="Aptos" w:hAnsi="Aptos"/>
        </w:rPr>
        <w:t>ing</w:t>
      </w:r>
      <w:r w:rsidR="00641298">
        <w:rPr>
          <w:rFonts w:ascii="Aptos" w:hAnsi="Aptos"/>
        </w:rPr>
        <w:t xml:space="preserve"> </w:t>
      </w:r>
      <w:r w:rsidR="00F20ABC">
        <w:rPr>
          <w:rFonts w:ascii="Aptos" w:hAnsi="Aptos"/>
        </w:rPr>
        <w:t>the following str</w:t>
      </w:r>
      <w:r w:rsidR="008843D2">
        <w:rPr>
          <w:rFonts w:ascii="Aptos" w:hAnsi="Aptos"/>
        </w:rPr>
        <w:t>uck</w:t>
      </w:r>
      <w:r w:rsidR="00F20ABC">
        <w:rPr>
          <w:rFonts w:ascii="Aptos" w:hAnsi="Aptos"/>
        </w:rPr>
        <w:t xml:space="preserve"> </w:t>
      </w:r>
      <w:r w:rsidR="00617040">
        <w:rPr>
          <w:rFonts w:ascii="Aptos" w:hAnsi="Aptos"/>
        </w:rPr>
        <w:t xml:space="preserve">through </w:t>
      </w:r>
      <w:r w:rsidR="00F20ABC">
        <w:rPr>
          <w:rFonts w:ascii="Aptos" w:hAnsi="Aptos"/>
        </w:rPr>
        <w:t>words</w:t>
      </w:r>
      <w:commentRangeEnd w:id="4"/>
      <w:r w:rsidR="00110F81">
        <w:rPr>
          <w:rStyle w:val="CommentReference"/>
        </w:rPr>
        <w:commentReference w:id="4"/>
      </w:r>
      <w:r w:rsidR="007D4645">
        <w:rPr>
          <w:rFonts w:ascii="Aptos" w:hAnsi="Aptos"/>
        </w:rPr>
        <w:t xml:space="preserve"> in recital 26</w:t>
      </w:r>
      <w:r w:rsidR="00F20ABC">
        <w:rPr>
          <w:rFonts w:ascii="Aptos" w:hAnsi="Aptos"/>
        </w:rPr>
        <w:t>: ‘</w:t>
      </w:r>
      <w:r w:rsidR="00F20ABC" w:rsidRPr="00F20ABC">
        <w:rPr>
          <w:rFonts w:ascii="Aptos" w:hAnsi="Aptos"/>
        </w:rPr>
        <w:t>To determine whether a natural person is identifiable, account should be taken of all the means reasonably likely to be used</w:t>
      </w:r>
      <w:r w:rsidR="00F20ABC" w:rsidRPr="00617040">
        <w:rPr>
          <w:rFonts w:ascii="Aptos" w:hAnsi="Aptos"/>
          <w:strike/>
        </w:rPr>
        <w:t xml:space="preserve">, </w:t>
      </w:r>
      <w:r w:rsidR="00F20ABC" w:rsidRPr="000E1714">
        <w:rPr>
          <w:rFonts w:ascii="Aptos" w:hAnsi="Aptos"/>
          <w:strike/>
        </w:rPr>
        <w:t>such as singling out, either by the controller or by another person to identify the natural person directly or indirectly</w:t>
      </w:r>
      <w:r w:rsidR="00F20ABC" w:rsidRPr="00F20ABC">
        <w:rPr>
          <w:rFonts w:ascii="Aptos" w:hAnsi="Aptos"/>
        </w:rPr>
        <w:t>.</w:t>
      </w:r>
      <w:r w:rsidR="00F20ABC">
        <w:rPr>
          <w:rFonts w:ascii="Aptos" w:hAnsi="Aptos"/>
        </w:rPr>
        <w:t>’.</w:t>
      </w:r>
      <w:r w:rsidR="000E1714">
        <w:rPr>
          <w:rFonts w:ascii="Aptos" w:hAnsi="Aptos"/>
        </w:rPr>
        <w:t xml:space="preserve"> </w:t>
      </w:r>
      <w:r w:rsidR="00A0742B" w:rsidRPr="00440BA1">
        <w:rPr>
          <w:rFonts w:ascii="Aptos" w:hAnsi="Aptos"/>
          <w:b/>
          <w:bCs/>
        </w:rPr>
        <w:t xml:space="preserve">Ensuring recital 26 reflects both legal certainty and technological neutrality will safeguard </w:t>
      </w:r>
      <w:r w:rsidR="001458D1" w:rsidRPr="00440BA1">
        <w:rPr>
          <w:rFonts w:ascii="Aptos" w:hAnsi="Aptos"/>
          <w:b/>
          <w:bCs/>
        </w:rPr>
        <w:t xml:space="preserve">data subject rights while enabling the deployment of increasingly advanced technologies and practices </w:t>
      </w:r>
      <w:r w:rsidR="00440BA1" w:rsidRPr="00440BA1">
        <w:rPr>
          <w:rFonts w:ascii="Aptos" w:hAnsi="Aptos"/>
          <w:b/>
          <w:bCs/>
        </w:rPr>
        <w:t>that drive Europe’s digital competitiveness.</w:t>
      </w:r>
      <w:r w:rsidR="00440BA1">
        <w:rPr>
          <w:rFonts w:ascii="Aptos" w:hAnsi="Aptos"/>
        </w:rPr>
        <w:t xml:space="preserve"> </w:t>
      </w:r>
    </w:p>
    <w:p w14:paraId="034D1144" w14:textId="4223CE1D" w:rsidR="00A520D8" w:rsidRDefault="005C20CA" w:rsidP="00A520D8">
      <w:pPr>
        <w:spacing w:after="0"/>
        <w:jc w:val="both"/>
        <w:rPr>
          <w:rFonts w:ascii="Aptos" w:hAnsi="Aptos"/>
          <w:b/>
          <w:bCs/>
        </w:rPr>
      </w:pPr>
      <w:r>
        <w:rPr>
          <w:rFonts w:ascii="Aptos" w:hAnsi="Aptos"/>
        </w:rPr>
        <w:t>In addition, w</w:t>
      </w:r>
      <w:r w:rsidR="004225CC">
        <w:rPr>
          <w:rFonts w:ascii="Aptos" w:hAnsi="Aptos"/>
        </w:rPr>
        <w:t>e welcome the mandate in Art. 41</w:t>
      </w:r>
      <w:r w:rsidR="00EC7D56">
        <w:rPr>
          <w:rFonts w:ascii="Aptos" w:hAnsi="Aptos"/>
        </w:rPr>
        <w:t xml:space="preserve">a </w:t>
      </w:r>
      <w:r w:rsidR="00395BE7">
        <w:rPr>
          <w:rFonts w:ascii="Aptos" w:hAnsi="Aptos"/>
        </w:rPr>
        <w:t>‘amended’</w:t>
      </w:r>
      <w:r w:rsidR="00EC7D56">
        <w:rPr>
          <w:rFonts w:ascii="Aptos" w:hAnsi="Aptos"/>
        </w:rPr>
        <w:t xml:space="preserve"> GDPR for an implementing act to </w:t>
      </w:r>
      <w:r w:rsidR="00EC7D56" w:rsidRPr="001A60E8">
        <w:rPr>
          <w:rFonts w:ascii="Aptos" w:hAnsi="Aptos"/>
          <w:b/>
          <w:bCs/>
        </w:rPr>
        <w:t>specify</w:t>
      </w:r>
      <w:r w:rsidR="00EC7D56">
        <w:rPr>
          <w:rFonts w:ascii="Aptos" w:hAnsi="Aptos"/>
        </w:rPr>
        <w:t xml:space="preserve"> </w:t>
      </w:r>
      <w:r w:rsidR="00EC7D56" w:rsidRPr="005C20CA">
        <w:rPr>
          <w:rFonts w:ascii="Aptos" w:hAnsi="Aptos"/>
          <w:b/>
          <w:bCs/>
        </w:rPr>
        <w:t>criteria</w:t>
      </w:r>
      <w:r w:rsidR="00EC7D56">
        <w:rPr>
          <w:rFonts w:ascii="Aptos" w:hAnsi="Aptos"/>
        </w:rPr>
        <w:t xml:space="preserve"> for determining when data resulting from pseudonymisation is no longer considered </w:t>
      </w:r>
      <w:r w:rsidR="004B2784">
        <w:rPr>
          <w:rFonts w:ascii="Aptos" w:hAnsi="Aptos"/>
        </w:rPr>
        <w:t xml:space="preserve">personal data. </w:t>
      </w:r>
      <w:r w:rsidR="00D61BF8">
        <w:rPr>
          <w:rFonts w:ascii="Aptos" w:hAnsi="Aptos"/>
        </w:rPr>
        <w:t xml:space="preserve">Establishing EU-wide criteria will provide legal </w:t>
      </w:r>
      <w:r w:rsidR="0050127F">
        <w:rPr>
          <w:rFonts w:ascii="Aptos" w:hAnsi="Aptos"/>
        </w:rPr>
        <w:t>certainty,</w:t>
      </w:r>
      <w:r w:rsidR="00D61BF8">
        <w:rPr>
          <w:rFonts w:ascii="Aptos" w:hAnsi="Aptos"/>
        </w:rPr>
        <w:t xml:space="preserve"> </w:t>
      </w:r>
      <w:r w:rsidR="001A60E8">
        <w:rPr>
          <w:rFonts w:ascii="Aptos" w:hAnsi="Aptos"/>
        </w:rPr>
        <w:t>which</w:t>
      </w:r>
      <w:r w:rsidR="00D61BF8">
        <w:rPr>
          <w:rFonts w:ascii="Aptos" w:hAnsi="Aptos"/>
        </w:rPr>
        <w:t xml:space="preserve"> is a key driver of economic growth, by enabling flexibility</w:t>
      </w:r>
      <w:r w:rsidR="000935D0">
        <w:rPr>
          <w:rFonts w:ascii="Aptos" w:hAnsi="Aptos"/>
        </w:rPr>
        <w:t xml:space="preserve">, innovation and cross-border data exchange. </w:t>
      </w:r>
      <w:r w:rsidR="000935D0" w:rsidRPr="00893B4A">
        <w:rPr>
          <w:rFonts w:ascii="Aptos" w:hAnsi="Aptos"/>
          <w:b/>
          <w:bCs/>
        </w:rPr>
        <w:t xml:space="preserve">We stress that the criteria must be </w:t>
      </w:r>
      <w:r w:rsidR="00D2438F" w:rsidRPr="00893B4A">
        <w:rPr>
          <w:rFonts w:ascii="Aptos" w:hAnsi="Aptos"/>
          <w:b/>
          <w:bCs/>
        </w:rPr>
        <w:t>simple and unambiguous in their implementation, ensuring that all companies can apply them</w:t>
      </w:r>
      <w:r w:rsidR="00A520D8">
        <w:rPr>
          <w:rFonts w:ascii="Aptos" w:hAnsi="Aptos"/>
          <w:b/>
          <w:bCs/>
        </w:rPr>
        <w:t>:</w:t>
      </w:r>
    </w:p>
    <w:p w14:paraId="02B0D5E2" w14:textId="0BFE665C" w:rsidR="00A520D8" w:rsidRPr="00A520D8" w:rsidRDefault="00D2438F" w:rsidP="00776050">
      <w:pPr>
        <w:pStyle w:val="ListParagraph"/>
        <w:numPr>
          <w:ilvl w:val="0"/>
          <w:numId w:val="16"/>
        </w:numPr>
        <w:spacing w:after="0"/>
        <w:jc w:val="both"/>
        <w:rPr>
          <w:rFonts w:ascii="Aptos" w:hAnsi="Aptos"/>
          <w:b/>
          <w:bCs/>
        </w:rPr>
      </w:pPr>
      <w:r w:rsidRPr="00A520D8">
        <w:rPr>
          <w:rFonts w:ascii="Aptos" w:hAnsi="Aptos"/>
          <w:b/>
          <w:bCs/>
        </w:rPr>
        <w:t>effectively</w:t>
      </w:r>
      <w:r w:rsidR="00B01DD9" w:rsidRPr="00A520D8">
        <w:rPr>
          <w:rFonts w:ascii="Aptos" w:hAnsi="Aptos"/>
          <w:b/>
          <w:bCs/>
        </w:rPr>
        <w:t xml:space="preserve"> (i.e., meet the objective of the GDPR)</w:t>
      </w:r>
      <w:r w:rsidR="00A520D8">
        <w:rPr>
          <w:rFonts w:ascii="Aptos" w:hAnsi="Aptos"/>
          <w:b/>
          <w:bCs/>
        </w:rPr>
        <w:t>;</w:t>
      </w:r>
      <w:r w:rsidR="000B09F0" w:rsidRPr="00A520D8">
        <w:rPr>
          <w:rFonts w:ascii="Aptos" w:hAnsi="Aptos"/>
          <w:b/>
          <w:bCs/>
        </w:rPr>
        <w:t xml:space="preserve"> </w:t>
      </w:r>
    </w:p>
    <w:p w14:paraId="79612CCD" w14:textId="39A986A1" w:rsidR="00A520D8" w:rsidRPr="00A520D8" w:rsidRDefault="00D2438F" w:rsidP="00776050">
      <w:pPr>
        <w:pStyle w:val="ListParagraph"/>
        <w:numPr>
          <w:ilvl w:val="0"/>
          <w:numId w:val="16"/>
        </w:numPr>
        <w:spacing w:after="0"/>
        <w:jc w:val="both"/>
        <w:rPr>
          <w:rFonts w:ascii="Aptos" w:hAnsi="Aptos"/>
          <w:b/>
          <w:bCs/>
        </w:rPr>
      </w:pPr>
      <w:r w:rsidRPr="00A520D8">
        <w:rPr>
          <w:rFonts w:ascii="Aptos" w:hAnsi="Aptos"/>
          <w:b/>
          <w:bCs/>
        </w:rPr>
        <w:t>efficiently</w:t>
      </w:r>
      <w:r w:rsidR="00B01DD9" w:rsidRPr="00A520D8">
        <w:rPr>
          <w:rFonts w:ascii="Aptos" w:hAnsi="Aptos"/>
          <w:b/>
          <w:bCs/>
        </w:rPr>
        <w:t xml:space="preserve"> (i.e.</w:t>
      </w:r>
      <w:r w:rsidR="00762919" w:rsidRPr="00A520D8">
        <w:rPr>
          <w:rFonts w:ascii="Aptos" w:hAnsi="Aptos"/>
          <w:b/>
          <w:bCs/>
        </w:rPr>
        <w:t>,</w:t>
      </w:r>
      <w:r w:rsidR="00B01DD9" w:rsidRPr="00A520D8">
        <w:rPr>
          <w:rFonts w:ascii="Aptos" w:hAnsi="Aptos"/>
          <w:b/>
          <w:bCs/>
        </w:rPr>
        <w:t xml:space="preserve"> without additional cost or effort)</w:t>
      </w:r>
      <w:r w:rsidR="00A520D8">
        <w:rPr>
          <w:rFonts w:ascii="Aptos" w:hAnsi="Aptos"/>
          <w:b/>
          <w:bCs/>
        </w:rPr>
        <w:t>;</w:t>
      </w:r>
      <w:r w:rsidR="000B09F0" w:rsidRPr="00A520D8">
        <w:rPr>
          <w:rFonts w:ascii="Aptos" w:hAnsi="Aptos"/>
          <w:b/>
          <w:bCs/>
        </w:rPr>
        <w:t xml:space="preserve"> and </w:t>
      </w:r>
    </w:p>
    <w:p w14:paraId="5290EBAA" w14:textId="77777777" w:rsidR="00A520D8" w:rsidRPr="00A520D8" w:rsidRDefault="000B09F0" w:rsidP="00A520D8">
      <w:pPr>
        <w:pStyle w:val="ListParagraph"/>
        <w:numPr>
          <w:ilvl w:val="0"/>
          <w:numId w:val="16"/>
        </w:numPr>
        <w:jc w:val="both"/>
        <w:rPr>
          <w:rFonts w:ascii="Aptos" w:hAnsi="Aptos"/>
        </w:rPr>
      </w:pPr>
      <w:r w:rsidRPr="00A520D8">
        <w:rPr>
          <w:rFonts w:ascii="Aptos" w:hAnsi="Aptos"/>
          <w:b/>
          <w:bCs/>
        </w:rPr>
        <w:t>consistently (i.e., the same application across the EU)</w:t>
      </w:r>
      <w:r w:rsidR="00D2438F" w:rsidRPr="00A520D8">
        <w:rPr>
          <w:rFonts w:ascii="Aptos" w:hAnsi="Aptos"/>
          <w:b/>
          <w:bCs/>
        </w:rPr>
        <w:t>.</w:t>
      </w:r>
      <w:r w:rsidR="00D2438F" w:rsidRPr="00A520D8">
        <w:rPr>
          <w:rFonts w:ascii="Aptos" w:hAnsi="Aptos"/>
        </w:rPr>
        <w:t xml:space="preserve"> </w:t>
      </w:r>
    </w:p>
    <w:p w14:paraId="74EE3E49" w14:textId="215272C3" w:rsidR="00B3734B" w:rsidRDefault="00715595" w:rsidP="003A2E50">
      <w:pPr>
        <w:jc w:val="both"/>
        <w:rPr>
          <w:rFonts w:ascii="Aptos" w:hAnsi="Aptos"/>
        </w:rPr>
      </w:pPr>
      <w:r>
        <w:rPr>
          <w:rFonts w:ascii="Aptos" w:hAnsi="Aptos"/>
        </w:rPr>
        <w:t xml:space="preserve">This is particularly important for SMEs, which have fewer resources and </w:t>
      </w:r>
      <w:r w:rsidR="00893B4A">
        <w:rPr>
          <w:rFonts w:ascii="Aptos" w:hAnsi="Aptos"/>
        </w:rPr>
        <w:t xml:space="preserve">must be able to rely on clear, accessible rules to remain competitive in the digital economy. </w:t>
      </w:r>
    </w:p>
    <w:p w14:paraId="7EAB0992" w14:textId="4E50DD61" w:rsidR="003A2E50" w:rsidRDefault="00C75D34" w:rsidP="003A2E50">
      <w:pPr>
        <w:jc w:val="both"/>
        <w:rPr>
          <w:rFonts w:ascii="Aptos" w:hAnsi="Aptos"/>
        </w:rPr>
      </w:pPr>
      <w:r>
        <w:rPr>
          <w:rFonts w:ascii="Aptos" w:hAnsi="Aptos"/>
        </w:rPr>
        <w:t>Notwithstanding the aforementioned, i</w:t>
      </w:r>
      <w:r w:rsidR="003A2E50">
        <w:rPr>
          <w:rFonts w:ascii="Aptos" w:hAnsi="Aptos"/>
        </w:rPr>
        <w:t xml:space="preserve">t is equally important that </w:t>
      </w:r>
      <w:r w:rsidR="003A2E50" w:rsidRPr="00530CD4">
        <w:rPr>
          <w:rFonts w:ascii="Aptos" w:hAnsi="Aptos"/>
          <w:b/>
          <w:bCs/>
        </w:rPr>
        <w:t xml:space="preserve">Art. 41a’s mandate for an implementing act </w:t>
      </w:r>
      <w:r w:rsidR="004C04BD" w:rsidRPr="004C04BD">
        <w:rPr>
          <w:rFonts w:ascii="Aptos" w:hAnsi="Aptos"/>
          <w:b/>
          <w:bCs/>
        </w:rPr>
        <w:t xml:space="preserve">remains focused on principles rather than prescribing specific technical ‘means’ for determining when pseudonymised data may no longer constitute personal data for certain entities. </w:t>
      </w:r>
      <w:r w:rsidR="00A248E9" w:rsidRPr="00A248E9">
        <w:rPr>
          <w:rFonts w:ascii="Aptos" w:hAnsi="Aptos"/>
        </w:rPr>
        <w:t>Such an approach would preserve flexibility and avoid unintentionally constraining innovation.</w:t>
      </w:r>
      <w:r w:rsidR="00A248E9">
        <w:rPr>
          <w:rFonts w:ascii="Aptos" w:hAnsi="Aptos"/>
          <w:b/>
          <w:bCs/>
        </w:rPr>
        <w:t xml:space="preserve"> </w:t>
      </w:r>
      <w:r w:rsidR="00A248E9">
        <w:rPr>
          <w:rFonts w:ascii="Aptos" w:hAnsi="Aptos"/>
        </w:rPr>
        <w:t>T</w:t>
      </w:r>
      <w:r w:rsidR="007A1164">
        <w:rPr>
          <w:rFonts w:ascii="Aptos" w:hAnsi="Aptos"/>
        </w:rPr>
        <w:t xml:space="preserve">his provision </w:t>
      </w:r>
      <w:r w:rsidR="000442AF">
        <w:rPr>
          <w:rFonts w:ascii="Aptos" w:hAnsi="Aptos"/>
        </w:rPr>
        <w:t>should</w:t>
      </w:r>
      <w:r w:rsidR="007A1164">
        <w:rPr>
          <w:rFonts w:ascii="Aptos" w:hAnsi="Aptos"/>
        </w:rPr>
        <w:t xml:space="preserve"> </w:t>
      </w:r>
      <w:r w:rsidR="00253715">
        <w:rPr>
          <w:rFonts w:ascii="Aptos" w:hAnsi="Aptos"/>
        </w:rPr>
        <w:t xml:space="preserve">therefore </w:t>
      </w:r>
      <w:r w:rsidR="007A1164">
        <w:rPr>
          <w:rFonts w:ascii="Aptos" w:hAnsi="Aptos"/>
        </w:rPr>
        <w:t>focus on tech-neutral</w:t>
      </w:r>
      <w:r w:rsidR="000442AF">
        <w:rPr>
          <w:rFonts w:ascii="Aptos" w:hAnsi="Aptos"/>
        </w:rPr>
        <w:t xml:space="preserve"> and </w:t>
      </w:r>
      <w:commentRangeStart w:id="5"/>
      <w:r w:rsidR="000442AF">
        <w:rPr>
          <w:rFonts w:ascii="Aptos" w:hAnsi="Aptos"/>
        </w:rPr>
        <w:t>subjective</w:t>
      </w:r>
      <w:commentRangeEnd w:id="5"/>
      <w:r w:rsidR="001B62D5">
        <w:rPr>
          <w:rStyle w:val="CommentReference"/>
        </w:rPr>
        <w:commentReference w:id="5"/>
      </w:r>
      <w:r w:rsidR="007A1164">
        <w:rPr>
          <w:rFonts w:ascii="Aptos" w:hAnsi="Aptos"/>
        </w:rPr>
        <w:t xml:space="preserve"> factors</w:t>
      </w:r>
      <w:r w:rsidR="000442AF">
        <w:rPr>
          <w:rFonts w:ascii="Aptos" w:hAnsi="Aptos"/>
        </w:rPr>
        <w:t xml:space="preserve"> (given the relative approach codified in Art. 4(1) GDPR)</w:t>
      </w:r>
      <w:r w:rsidR="007A1164">
        <w:rPr>
          <w:rFonts w:ascii="Aptos" w:hAnsi="Aptos"/>
        </w:rPr>
        <w:t>, such as</w:t>
      </w:r>
      <w:r w:rsidR="00D27465">
        <w:rPr>
          <w:rFonts w:ascii="Aptos" w:hAnsi="Aptos"/>
        </w:rPr>
        <w:t xml:space="preserve"> </w:t>
      </w:r>
      <w:r w:rsidR="00D97EF9">
        <w:rPr>
          <w:rFonts w:ascii="Aptos" w:hAnsi="Aptos"/>
        </w:rPr>
        <w:t>‘</w:t>
      </w:r>
      <w:r w:rsidR="00D27465">
        <w:rPr>
          <w:rFonts w:ascii="Aptos" w:hAnsi="Aptos"/>
        </w:rPr>
        <w:t xml:space="preserve">available resources, legal rights, available technology in a data recipient and </w:t>
      </w:r>
      <w:r w:rsidR="00D97EF9">
        <w:rPr>
          <w:rFonts w:ascii="Aptos" w:hAnsi="Aptos"/>
        </w:rPr>
        <w:t>costs and time necessary to implement mitigating measures</w:t>
      </w:r>
      <w:r w:rsidR="0076570B">
        <w:rPr>
          <w:rFonts w:ascii="Aptos" w:hAnsi="Aptos"/>
        </w:rPr>
        <w:t xml:space="preserve"> by a data recipient</w:t>
      </w:r>
      <w:r w:rsidR="00D97EF9">
        <w:rPr>
          <w:rFonts w:ascii="Aptos" w:hAnsi="Aptos"/>
        </w:rPr>
        <w:t xml:space="preserve">’. We propose to add the mentioned factors in Art. </w:t>
      </w:r>
      <w:r w:rsidR="003630E4">
        <w:rPr>
          <w:rFonts w:ascii="Aptos" w:hAnsi="Aptos"/>
        </w:rPr>
        <w:t>41a</w:t>
      </w:r>
      <w:r w:rsidR="00A11BE8">
        <w:rPr>
          <w:rFonts w:ascii="Aptos" w:hAnsi="Aptos"/>
        </w:rPr>
        <w:t xml:space="preserve"> explicitly</w:t>
      </w:r>
      <w:r w:rsidR="003630E4">
        <w:rPr>
          <w:rFonts w:ascii="Aptos" w:hAnsi="Aptos"/>
        </w:rPr>
        <w:t xml:space="preserve">. </w:t>
      </w:r>
      <w:r w:rsidR="00CB3953" w:rsidRPr="00CB3953">
        <w:rPr>
          <w:rFonts w:ascii="Aptos" w:hAnsi="Aptos"/>
          <w:b/>
          <w:bCs/>
        </w:rPr>
        <w:t>Besides,</w:t>
      </w:r>
      <w:r w:rsidR="00CB3953">
        <w:rPr>
          <w:rFonts w:ascii="Aptos" w:hAnsi="Aptos"/>
        </w:rPr>
        <w:t xml:space="preserve"> </w:t>
      </w:r>
      <w:r w:rsidR="00CB3953">
        <w:rPr>
          <w:rFonts w:ascii="Aptos" w:hAnsi="Aptos"/>
          <w:b/>
          <w:bCs/>
        </w:rPr>
        <w:t>w</w:t>
      </w:r>
      <w:r w:rsidR="00E83E15" w:rsidRPr="00E83E15">
        <w:rPr>
          <w:rFonts w:ascii="Aptos" w:hAnsi="Aptos"/>
          <w:b/>
          <w:bCs/>
        </w:rPr>
        <w:t>e stress that t</w:t>
      </w:r>
      <w:r w:rsidR="008E1CF5" w:rsidRPr="00E83E15">
        <w:rPr>
          <w:rFonts w:ascii="Aptos" w:hAnsi="Aptos"/>
          <w:b/>
          <w:bCs/>
        </w:rPr>
        <w:t xml:space="preserve">he assessment of anonymity or pseudonymisation must be a realistic </w:t>
      </w:r>
      <w:r w:rsidR="002C517E">
        <w:rPr>
          <w:rFonts w:ascii="Aptos" w:hAnsi="Aptos"/>
          <w:b/>
          <w:bCs/>
        </w:rPr>
        <w:t xml:space="preserve">risk-based </w:t>
      </w:r>
      <w:r w:rsidR="008E1CF5" w:rsidRPr="00E83E15">
        <w:rPr>
          <w:rFonts w:ascii="Aptos" w:hAnsi="Aptos"/>
          <w:b/>
          <w:bCs/>
        </w:rPr>
        <w:t xml:space="preserve">evaluation, reflecting actual risks and operational circumstances. </w:t>
      </w:r>
      <w:r w:rsidR="008E1CF5" w:rsidRPr="008E1CF5">
        <w:rPr>
          <w:rFonts w:ascii="Aptos" w:hAnsi="Aptos"/>
        </w:rPr>
        <w:t>Such an approach will encourage the use of</w:t>
      </w:r>
      <w:r w:rsidR="00E83E15">
        <w:rPr>
          <w:rFonts w:ascii="Aptos" w:hAnsi="Aptos"/>
        </w:rPr>
        <w:t xml:space="preserve"> PETs </w:t>
      </w:r>
      <w:r w:rsidR="00DD4EFB" w:rsidRPr="00DD4EFB">
        <w:rPr>
          <w:rFonts w:ascii="Aptos" w:hAnsi="Aptos"/>
        </w:rPr>
        <w:t>and other mitigating measures, consistent with a risk</w:t>
      </w:r>
      <w:r w:rsidR="00DD4EFB" w:rsidRPr="00DD4EFB">
        <w:rPr>
          <w:rFonts w:ascii="Cambria Math" w:hAnsi="Cambria Math" w:cs="Cambria Math"/>
        </w:rPr>
        <w:t>‑</w:t>
      </w:r>
      <w:r w:rsidR="00DD4EFB" w:rsidRPr="00DD4EFB">
        <w:rPr>
          <w:rFonts w:ascii="Aptos" w:hAnsi="Aptos"/>
        </w:rPr>
        <w:t>based framework, while ensuring that companies</w:t>
      </w:r>
      <w:r w:rsidR="00DD4EFB">
        <w:rPr>
          <w:rFonts w:ascii="Aptos" w:hAnsi="Aptos"/>
        </w:rPr>
        <w:t xml:space="preserve"> (and particularly SMEs) </w:t>
      </w:r>
      <w:r w:rsidR="0072137F" w:rsidRPr="0072137F">
        <w:rPr>
          <w:rFonts w:ascii="Aptos" w:hAnsi="Aptos"/>
        </w:rPr>
        <w:t>can implement solutions effectively and competitively.</w:t>
      </w:r>
      <w:r w:rsidR="0072137F">
        <w:rPr>
          <w:rFonts w:ascii="Aptos" w:hAnsi="Aptos"/>
        </w:rPr>
        <w:t xml:space="preserve"> </w:t>
      </w:r>
    </w:p>
    <w:p w14:paraId="039B6096" w14:textId="514FB41D" w:rsidR="00ED7C8D" w:rsidRDefault="000A2110" w:rsidP="00742BC3">
      <w:pPr>
        <w:jc w:val="both"/>
        <w:rPr>
          <w:rFonts w:ascii="Aptos" w:hAnsi="Aptos"/>
        </w:rPr>
      </w:pPr>
      <w:r>
        <w:rPr>
          <w:rFonts w:ascii="Aptos" w:hAnsi="Aptos"/>
        </w:rPr>
        <w:t>W</w:t>
      </w:r>
      <w:r w:rsidR="00265A39">
        <w:rPr>
          <w:rFonts w:ascii="Aptos" w:hAnsi="Aptos"/>
        </w:rPr>
        <w:t xml:space="preserve">e </w:t>
      </w:r>
      <w:r>
        <w:rPr>
          <w:rFonts w:ascii="Aptos" w:hAnsi="Aptos"/>
        </w:rPr>
        <w:t>also</w:t>
      </w:r>
      <w:r w:rsidR="00663313">
        <w:rPr>
          <w:rFonts w:ascii="Aptos" w:hAnsi="Aptos"/>
        </w:rPr>
        <w:t xml:space="preserve"> note</w:t>
      </w:r>
      <w:r w:rsidR="005F41E5">
        <w:rPr>
          <w:rFonts w:ascii="Aptos" w:hAnsi="Aptos"/>
        </w:rPr>
        <w:t>d</w:t>
      </w:r>
      <w:r w:rsidR="00663313">
        <w:rPr>
          <w:rFonts w:ascii="Aptos" w:hAnsi="Aptos"/>
        </w:rPr>
        <w:t xml:space="preserve"> </w:t>
      </w:r>
      <w:r w:rsidR="007D7527" w:rsidRPr="007D7527">
        <w:rPr>
          <w:rFonts w:ascii="Aptos" w:hAnsi="Aptos"/>
        </w:rPr>
        <w:t>the current placement of Art</w:t>
      </w:r>
      <w:r w:rsidR="007D7527">
        <w:rPr>
          <w:rFonts w:ascii="Aptos" w:hAnsi="Aptos"/>
        </w:rPr>
        <w:t>.</w:t>
      </w:r>
      <w:r w:rsidR="007D7527" w:rsidRPr="007D7527">
        <w:rPr>
          <w:rFonts w:ascii="Aptos" w:hAnsi="Aptos"/>
        </w:rPr>
        <w:t xml:space="preserve"> 41a </w:t>
      </w:r>
      <w:r w:rsidR="00395BE7">
        <w:rPr>
          <w:rFonts w:ascii="Aptos" w:hAnsi="Aptos"/>
        </w:rPr>
        <w:t>‘amended’</w:t>
      </w:r>
      <w:r w:rsidR="007D7527">
        <w:rPr>
          <w:rFonts w:ascii="Aptos" w:hAnsi="Aptos"/>
        </w:rPr>
        <w:t xml:space="preserve"> GDPR </w:t>
      </w:r>
      <w:r w:rsidR="007D7527" w:rsidRPr="007D7527">
        <w:rPr>
          <w:rFonts w:ascii="Aptos" w:hAnsi="Aptos"/>
        </w:rPr>
        <w:t>within the GDPR, situated between provisions on certification</w:t>
      </w:r>
      <w:r>
        <w:rPr>
          <w:rFonts w:ascii="Aptos" w:hAnsi="Aptos"/>
        </w:rPr>
        <w:t xml:space="preserve"> (Art. </w:t>
      </w:r>
      <w:r w:rsidR="0095029F">
        <w:rPr>
          <w:rFonts w:ascii="Aptos" w:hAnsi="Aptos"/>
        </w:rPr>
        <w:t>42</w:t>
      </w:r>
      <w:r>
        <w:rPr>
          <w:rFonts w:ascii="Aptos" w:hAnsi="Aptos"/>
        </w:rPr>
        <w:t>)</w:t>
      </w:r>
      <w:r w:rsidR="007D7527" w:rsidRPr="007D7527">
        <w:rPr>
          <w:rFonts w:ascii="Aptos" w:hAnsi="Aptos"/>
        </w:rPr>
        <w:t xml:space="preserve"> and codes of conduct</w:t>
      </w:r>
      <w:r>
        <w:rPr>
          <w:rFonts w:ascii="Aptos" w:hAnsi="Aptos"/>
        </w:rPr>
        <w:t xml:space="preserve"> (Art</w:t>
      </w:r>
      <w:r w:rsidR="0095029F">
        <w:rPr>
          <w:rFonts w:ascii="Aptos" w:hAnsi="Aptos"/>
        </w:rPr>
        <w:t>s</w:t>
      </w:r>
      <w:r>
        <w:rPr>
          <w:rFonts w:ascii="Aptos" w:hAnsi="Aptos"/>
        </w:rPr>
        <w:t xml:space="preserve">. </w:t>
      </w:r>
      <w:r w:rsidR="008012FB">
        <w:rPr>
          <w:rFonts w:ascii="Aptos" w:hAnsi="Aptos"/>
        </w:rPr>
        <w:t>40</w:t>
      </w:r>
      <w:r w:rsidR="0095029F">
        <w:rPr>
          <w:rFonts w:ascii="Aptos" w:hAnsi="Aptos"/>
        </w:rPr>
        <w:t>, 41</w:t>
      </w:r>
      <w:r>
        <w:rPr>
          <w:rFonts w:ascii="Aptos" w:hAnsi="Aptos"/>
        </w:rPr>
        <w:t>)</w:t>
      </w:r>
      <w:r w:rsidR="007D7527" w:rsidRPr="007D7527">
        <w:rPr>
          <w:rFonts w:ascii="Aptos" w:hAnsi="Aptos"/>
        </w:rPr>
        <w:t xml:space="preserve">. </w:t>
      </w:r>
      <w:r w:rsidR="007D7527" w:rsidRPr="006B639D">
        <w:rPr>
          <w:rFonts w:ascii="Aptos" w:hAnsi="Aptos"/>
          <w:b/>
          <w:bCs/>
        </w:rPr>
        <w:t>This implementing act addresses the definition of personal data, and therefore</w:t>
      </w:r>
      <w:r w:rsidR="00375C73">
        <w:rPr>
          <w:rFonts w:ascii="Aptos" w:hAnsi="Aptos"/>
          <w:b/>
          <w:bCs/>
        </w:rPr>
        <w:t>, we believe that</w:t>
      </w:r>
      <w:r w:rsidR="007D7527" w:rsidRPr="006B639D">
        <w:rPr>
          <w:rFonts w:ascii="Aptos" w:hAnsi="Aptos"/>
          <w:b/>
          <w:bCs/>
        </w:rPr>
        <w:t xml:space="preserve"> its natural and logical place is directly within Art. 4(1), which sets out that definition.</w:t>
      </w:r>
      <w:r w:rsidR="007D7527" w:rsidRPr="007D7527">
        <w:rPr>
          <w:rFonts w:ascii="Aptos" w:hAnsi="Aptos"/>
        </w:rPr>
        <w:t xml:space="preserve"> </w:t>
      </w:r>
      <w:r w:rsidR="006657F5" w:rsidRPr="006657F5">
        <w:rPr>
          <w:rFonts w:ascii="Aptos" w:hAnsi="Aptos"/>
        </w:rPr>
        <w:t xml:space="preserve">Ensuring that EU law remains accessible and easy to navigate is essential for all stakeholders. </w:t>
      </w:r>
      <w:r w:rsidR="007D7527">
        <w:rPr>
          <w:rFonts w:ascii="Aptos" w:hAnsi="Aptos"/>
        </w:rPr>
        <w:t xml:space="preserve">Embedding </w:t>
      </w:r>
      <w:r w:rsidR="007D7527" w:rsidRPr="007D7527">
        <w:rPr>
          <w:rFonts w:ascii="Aptos" w:hAnsi="Aptos"/>
        </w:rPr>
        <w:t>Art</w:t>
      </w:r>
      <w:r w:rsidR="007D7527">
        <w:rPr>
          <w:rFonts w:ascii="Aptos" w:hAnsi="Aptos"/>
        </w:rPr>
        <w:t>.</w:t>
      </w:r>
      <w:r w:rsidR="007D7527" w:rsidRPr="007D7527">
        <w:rPr>
          <w:rFonts w:ascii="Aptos" w:hAnsi="Aptos"/>
        </w:rPr>
        <w:t xml:space="preserve"> 41a</w:t>
      </w:r>
      <w:r w:rsidR="007D7527">
        <w:rPr>
          <w:rFonts w:ascii="Aptos" w:hAnsi="Aptos"/>
        </w:rPr>
        <w:t xml:space="preserve"> </w:t>
      </w:r>
      <w:r w:rsidR="00395BE7">
        <w:rPr>
          <w:rFonts w:ascii="Aptos" w:hAnsi="Aptos"/>
        </w:rPr>
        <w:t>‘amended’</w:t>
      </w:r>
      <w:r w:rsidR="007D7527">
        <w:rPr>
          <w:rFonts w:ascii="Aptos" w:hAnsi="Aptos"/>
        </w:rPr>
        <w:t xml:space="preserve"> GDPR </w:t>
      </w:r>
      <w:r w:rsidR="006B639D" w:rsidRPr="006B639D">
        <w:rPr>
          <w:rFonts w:ascii="Aptos" w:hAnsi="Aptos"/>
        </w:rPr>
        <w:t xml:space="preserve">in the </w:t>
      </w:r>
      <w:r w:rsidR="0089120D">
        <w:rPr>
          <w:rFonts w:ascii="Aptos" w:hAnsi="Aptos"/>
        </w:rPr>
        <w:t>‘</w:t>
      </w:r>
      <w:r w:rsidR="006B639D" w:rsidRPr="006B639D">
        <w:rPr>
          <w:rFonts w:ascii="Aptos" w:hAnsi="Aptos"/>
        </w:rPr>
        <w:t>definitional section</w:t>
      </w:r>
      <w:r w:rsidR="0089120D">
        <w:rPr>
          <w:rFonts w:ascii="Aptos" w:hAnsi="Aptos"/>
        </w:rPr>
        <w:t>’</w:t>
      </w:r>
      <w:r w:rsidR="00637015">
        <w:rPr>
          <w:rFonts w:ascii="Aptos" w:hAnsi="Aptos"/>
        </w:rPr>
        <w:t xml:space="preserve"> (i.e. chapter I GDPR)</w:t>
      </w:r>
      <w:r w:rsidR="006B639D" w:rsidRPr="006B639D">
        <w:rPr>
          <w:rFonts w:ascii="Aptos" w:hAnsi="Aptos"/>
        </w:rPr>
        <w:t xml:space="preserve"> would </w:t>
      </w:r>
      <w:r w:rsidR="006B639D" w:rsidRPr="006B639D">
        <w:rPr>
          <w:rFonts w:ascii="Aptos" w:hAnsi="Aptos"/>
        </w:rPr>
        <w:lastRenderedPageBreak/>
        <w:t>strengthen legal certainty and ensure that businesses, regulators, and citizens can navigate the GDPR with</w:t>
      </w:r>
      <w:r w:rsidR="006B639D">
        <w:rPr>
          <w:rFonts w:ascii="Aptos" w:hAnsi="Aptos"/>
        </w:rPr>
        <w:t xml:space="preserve"> clarity. </w:t>
      </w:r>
    </w:p>
    <w:p w14:paraId="7FC56136" w14:textId="123010B0" w:rsidR="00D145A2" w:rsidRDefault="00D145A2" w:rsidP="00742BC3">
      <w:pPr>
        <w:jc w:val="both"/>
        <w:rPr>
          <w:rFonts w:ascii="Aptos" w:hAnsi="Aptos"/>
        </w:rPr>
      </w:pPr>
      <w:r w:rsidRPr="0079300D">
        <w:rPr>
          <w:rFonts w:ascii="Aptos" w:hAnsi="Aptos"/>
        </w:rPr>
        <w:t xml:space="preserve">Lastly, while Art. 41a </w:t>
      </w:r>
      <w:r w:rsidR="00395BE7">
        <w:rPr>
          <w:rFonts w:ascii="Aptos" w:hAnsi="Aptos"/>
        </w:rPr>
        <w:t>‘amended’</w:t>
      </w:r>
      <w:r w:rsidRPr="0079300D">
        <w:rPr>
          <w:rFonts w:ascii="Aptos" w:hAnsi="Aptos"/>
        </w:rPr>
        <w:t xml:space="preserve"> GDPR foresees close cooperation between the European Commission and the EDPB</w:t>
      </w:r>
      <w:r w:rsidR="00D0265A" w:rsidRPr="0079300D">
        <w:rPr>
          <w:rFonts w:ascii="Aptos" w:hAnsi="Aptos"/>
        </w:rPr>
        <w:t xml:space="preserve"> in preparing the implementing act, we </w:t>
      </w:r>
      <w:r w:rsidR="00E2667E" w:rsidRPr="0079300D">
        <w:rPr>
          <w:rFonts w:ascii="Aptos" w:hAnsi="Aptos"/>
        </w:rPr>
        <w:t>believe that a</w:t>
      </w:r>
      <w:r w:rsidR="00D0265A" w:rsidRPr="0079300D">
        <w:rPr>
          <w:rFonts w:ascii="Aptos" w:hAnsi="Aptos"/>
        </w:rPr>
        <w:t xml:space="preserve"> more transparent and </w:t>
      </w:r>
      <w:r w:rsidR="00F14EE5" w:rsidRPr="0079300D">
        <w:rPr>
          <w:rFonts w:ascii="Aptos" w:hAnsi="Aptos"/>
        </w:rPr>
        <w:t>practice-oriented</w:t>
      </w:r>
      <w:r w:rsidR="00D0265A" w:rsidRPr="0079300D">
        <w:rPr>
          <w:rFonts w:ascii="Aptos" w:hAnsi="Aptos"/>
        </w:rPr>
        <w:t xml:space="preserve"> approach</w:t>
      </w:r>
      <w:r w:rsidR="008C062B" w:rsidRPr="0079300D">
        <w:rPr>
          <w:rFonts w:ascii="Aptos" w:hAnsi="Aptos"/>
        </w:rPr>
        <w:t xml:space="preserve"> would further strengthen the process</w:t>
      </w:r>
      <w:r w:rsidR="00D0265A" w:rsidRPr="0079300D">
        <w:rPr>
          <w:rFonts w:ascii="Aptos" w:hAnsi="Aptos"/>
        </w:rPr>
        <w:t xml:space="preserve">. </w:t>
      </w:r>
      <w:r w:rsidR="00D0265A">
        <w:rPr>
          <w:rFonts w:ascii="Aptos" w:hAnsi="Aptos"/>
        </w:rPr>
        <w:t xml:space="preserve">The EDPB’s </w:t>
      </w:r>
      <w:r w:rsidR="008C062B">
        <w:rPr>
          <w:rFonts w:ascii="Aptos" w:hAnsi="Aptos"/>
        </w:rPr>
        <w:t xml:space="preserve">core </w:t>
      </w:r>
      <w:r w:rsidR="00D0265A">
        <w:rPr>
          <w:rFonts w:ascii="Aptos" w:hAnsi="Aptos"/>
        </w:rPr>
        <w:t>mandate</w:t>
      </w:r>
      <w:r w:rsidR="001C57E0">
        <w:rPr>
          <w:rFonts w:ascii="Aptos" w:hAnsi="Aptos"/>
        </w:rPr>
        <w:t xml:space="preserve"> is to ensure consistent application of the GDPR and to issue opinions</w:t>
      </w:r>
      <w:r w:rsidR="007D7BBF">
        <w:rPr>
          <w:rFonts w:ascii="Aptos" w:hAnsi="Aptos"/>
        </w:rPr>
        <w:t>, advice</w:t>
      </w:r>
      <w:r w:rsidR="001C57E0">
        <w:rPr>
          <w:rFonts w:ascii="Aptos" w:hAnsi="Aptos"/>
        </w:rPr>
        <w:t xml:space="preserve"> and guidance</w:t>
      </w:r>
      <w:r w:rsidR="008C062B">
        <w:rPr>
          <w:rFonts w:ascii="Aptos" w:hAnsi="Aptos"/>
        </w:rPr>
        <w:t>.</w:t>
      </w:r>
      <w:r w:rsidR="001C57E0">
        <w:rPr>
          <w:rStyle w:val="FootnoteReference"/>
          <w:rFonts w:ascii="Aptos" w:hAnsi="Aptos"/>
        </w:rPr>
        <w:footnoteReference w:id="11"/>
      </w:r>
      <w:r w:rsidR="001C57E0">
        <w:rPr>
          <w:rFonts w:ascii="Aptos" w:hAnsi="Aptos"/>
        </w:rPr>
        <w:t xml:space="preserve"> </w:t>
      </w:r>
      <w:r w:rsidR="00D15F60" w:rsidRPr="00A75BF9">
        <w:rPr>
          <w:rFonts w:ascii="Aptos" w:hAnsi="Aptos"/>
          <w:b/>
          <w:bCs/>
        </w:rPr>
        <w:t>In this context, it may be more appropriate for the EDPB to contribute through an independent, practice</w:t>
      </w:r>
      <w:r w:rsidR="00D15F60" w:rsidRPr="00A75BF9">
        <w:rPr>
          <w:rFonts w:ascii="Cambria Math" w:hAnsi="Cambria Math" w:cs="Cambria Math"/>
          <w:b/>
          <w:bCs/>
        </w:rPr>
        <w:t>‑</w:t>
      </w:r>
      <w:r w:rsidR="00D15F60" w:rsidRPr="00A75BF9">
        <w:rPr>
          <w:rFonts w:ascii="Aptos" w:hAnsi="Aptos"/>
          <w:b/>
          <w:bCs/>
        </w:rPr>
        <w:t xml:space="preserve">informed </w:t>
      </w:r>
      <w:r w:rsidR="009D78EC">
        <w:rPr>
          <w:rFonts w:ascii="Aptos" w:hAnsi="Aptos"/>
          <w:b/>
          <w:bCs/>
        </w:rPr>
        <w:t>advice in line with Art.</w:t>
      </w:r>
      <w:r w:rsidR="00265DDF">
        <w:rPr>
          <w:rFonts w:ascii="Aptos" w:hAnsi="Aptos"/>
          <w:b/>
          <w:bCs/>
        </w:rPr>
        <w:t xml:space="preserve"> 70</w:t>
      </w:r>
      <w:r w:rsidR="00A72288">
        <w:rPr>
          <w:rFonts w:ascii="Aptos" w:hAnsi="Aptos"/>
          <w:b/>
          <w:bCs/>
        </w:rPr>
        <w:t>(b) GDPR</w:t>
      </w:r>
      <w:r w:rsidR="009D78EC">
        <w:rPr>
          <w:rFonts w:ascii="Aptos" w:hAnsi="Aptos"/>
          <w:b/>
          <w:bCs/>
        </w:rPr>
        <w:t xml:space="preserve"> </w:t>
      </w:r>
      <w:commentRangeStart w:id="6"/>
      <w:r w:rsidR="00D15F60" w:rsidRPr="00A75BF9">
        <w:rPr>
          <w:rFonts w:ascii="Aptos" w:hAnsi="Aptos"/>
          <w:b/>
          <w:bCs/>
        </w:rPr>
        <w:t xml:space="preserve"> </w:t>
      </w:r>
      <w:commentRangeEnd w:id="6"/>
      <w:r w:rsidR="002B4A17">
        <w:rPr>
          <w:rStyle w:val="CommentReference"/>
        </w:rPr>
        <w:commentReference w:id="6"/>
      </w:r>
      <w:r w:rsidR="00D15F60" w:rsidRPr="00A75BF9">
        <w:rPr>
          <w:rFonts w:ascii="Aptos" w:hAnsi="Aptos"/>
          <w:b/>
          <w:bCs/>
        </w:rPr>
        <w:t>rather than through direct involvement in drafting</w:t>
      </w:r>
      <w:r w:rsidR="00A836CC" w:rsidRPr="00A75BF9">
        <w:rPr>
          <w:rFonts w:ascii="Aptos" w:hAnsi="Aptos"/>
          <w:b/>
          <w:bCs/>
        </w:rPr>
        <w:t xml:space="preserve"> the implementing act</w:t>
      </w:r>
      <w:r w:rsidR="00922006" w:rsidRPr="00A75BF9">
        <w:rPr>
          <w:rFonts w:ascii="Aptos" w:hAnsi="Aptos"/>
          <w:b/>
          <w:bCs/>
        </w:rPr>
        <w:t xml:space="preserve">. </w:t>
      </w:r>
      <w:r w:rsidR="00A836CC" w:rsidRPr="00A75BF9">
        <w:rPr>
          <w:rFonts w:ascii="Aptos" w:hAnsi="Aptos"/>
          <w:b/>
          <w:bCs/>
        </w:rPr>
        <w:t xml:space="preserve">At the same time, </w:t>
      </w:r>
      <w:r w:rsidR="00257D8D" w:rsidRPr="00A75BF9">
        <w:rPr>
          <w:rFonts w:ascii="Aptos" w:hAnsi="Aptos"/>
          <w:b/>
          <w:bCs/>
        </w:rPr>
        <w:t>closer engagement with industry stakeholders would allow the European Commission to draw on operational expertise and established risk</w:t>
      </w:r>
      <w:r w:rsidR="00257D8D" w:rsidRPr="00A75BF9">
        <w:rPr>
          <w:rFonts w:ascii="Cambria Math" w:hAnsi="Cambria Math" w:cs="Cambria Math"/>
          <w:b/>
          <w:bCs/>
        </w:rPr>
        <w:t>‑</w:t>
      </w:r>
      <w:r w:rsidR="00257D8D" w:rsidRPr="00A75BF9">
        <w:rPr>
          <w:rFonts w:ascii="Aptos" w:hAnsi="Aptos"/>
          <w:b/>
          <w:bCs/>
        </w:rPr>
        <w:t>management practices</w:t>
      </w:r>
      <w:r w:rsidR="00793B06" w:rsidRPr="00A75BF9">
        <w:rPr>
          <w:rFonts w:ascii="Aptos" w:hAnsi="Aptos"/>
          <w:b/>
          <w:bCs/>
        </w:rPr>
        <w:t xml:space="preserve">. </w:t>
      </w:r>
      <w:r w:rsidR="00793B06" w:rsidRPr="00793B06">
        <w:rPr>
          <w:rFonts w:ascii="Aptos" w:hAnsi="Aptos"/>
        </w:rPr>
        <w:t xml:space="preserve">This would respect institutional roles, enhance transparency, and </w:t>
      </w:r>
      <w:r w:rsidR="00A75BF9" w:rsidRPr="00A75BF9">
        <w:rPr>
          <w:rFonts w:ascii="Aptos" w:hAnsi="Aptos"/>
        </w:rPr>
        <w:t>support the development of criteria that are both workable and aligned with real</w:t>
      </w:r>
      <w:r w:rsidR="00A75BF9" w:rsidRPr="00A75BF9">
        <w:rPr>
          <w:rFonts w:ascii="Cambria Math" w:hAnsi="Cambria Math" w:cs="Cambria Math"/>
        </w:rPr>
        <w:t>‑</w:t>
      </w:r>
      <w:r w:rsidR="00A75BF9" w:rsidRPr="00A75BF9">
        <w:rPr>
          <w:rFonts w:ascii="Aptos" w:hAnsi="Aptos"/>
        </w:rPr>
        <w:t>world needs</w:t>
      </w:r>
      <w:r w:rsidR="00793B06" w:rsidRPr="00793B06">
        <w:rPr>
          <w:rFonts w:ascii="Aptos" w:hAnsi="Aptos"/>
        </w:rPr>
        <w:t>.</w:t>
      </w:r>
    </w:p>
    <w:p w14:paraId="6030F213" w14:textId="0DA371BD" w:rsidR="00794D47" w:rsidRPr="00F331EF" w:rsidRDefault="00625CEA" w:rsidP="00F331EF">
      <w:pPr>
        <w:pStyle w:val="ListParagraph"/>
        <w:numPr>
          <w:ilvl w:val="0"/>
          <w:numId w:val="15"/>
        </w:numPr>
        <w:jc w:val="both"/>
        <w:rPr>
          <w:rFonts w:ascii="Aptos" w:hAnsi="Aptos"/>
          <w:b/>
          <w:bCs/>
          <w:color w:val="002060"/>
        </w:rPr>
      </w:pPr>
      <w:r w:rsidRPr="00F331EF">
        <w:rPr>
          <w:rFonts w:ascii="Aptos" w:hAnsi="Aptos"/>
          <w:b/>
          <w:bCs/>
          <w:color w:val="002060"/>
        </w:rPr>
        <w:t>Targeted amendment under Art. 4(</w:t>
      </w:r>
      <w:r w:rsidR="00F331EF" w:rsidRPr="00F331EF">
        <w:rPr>
          <w:rFonts w:ascii="Aptos" w:hAnsi="Aptos"/>
          <w:b/>
          <w:bCs/>
          <w:color w:val="002060"/>
        </w:rPr>
        <w:t>32-</w:t>
      </w:r>
      <w:r w:rsidRPr="00F331EF">
        <w:rPr>
          <w:rFonts w:ascii="Aptos" w:hAnsi="Aptos"/>
          <w:b/>
          <w:bCs/>
          <w:color w:val="002060"/>
        </w:rPr>
        <w:t>38)</w:t>
      </w:r>
      <w:r w:rsidR="00F331EF" w:rsidRPr="00F331EF">
        <w:rPr>
          <w:rFonts w:ascii="Aptos" w:hAnsi="Aptos"/>
          <w:b/>
          <w:bCs/>
          <w:color w:val="002060"/>
        </w:rPr>
        <w:t xml:space="preserve"> </w:t>
      </w:r>
      <w:r w:rsidR="001A1691">
        <w:rPr>
          <w:rFonts w:ascii="Aptos" w:hAnsi="Aptos"/>
          <w:b/>
          <w:bCs/>
          <w:color w:val="002060"/>
        </w:rPr>
        <w:t xml:space="preserve">and Art. </w:t>
      </w:r>
      <w:r w:rsidR="009612EE">
        <w:rPr>
          <w:rFonts w:ascii="Aptos" w:hAnsi="Aptos"/>
          <w:b/>
          <w:bCs/>
          <w:color w:val="002060"/>
        </w:rPr>
        <w:t>5</w:t>
      </w:r>
      <w:r w:rsidR="001A1691">
        <w:rPr>
          <w:rFonts w:ascii="Aptos" w:hAnsi="Aptos"/>
          <w:b/>
          <w:bCs/>
          <w:color w:val="002060"/>
        </w:rPr>
        <w:t>(1)</w:t>
      </w:r>
      <w:r w:rsidR="009612EE">
        <w:rPr>
          <w:rFonts w:ascii="Aptos" w:hAnsi="Aptos"/>
          <w:b/>
          <w:bCs/>
          <w:color w:val="002060"/>
        </w:rPr>
        <w:t xml:space="preserve">(b) </w:t>
      </w:r>
      <w:r w:rsidR="00F331EF" w:rsidRPr="00F331EF">
        <w:rPr>
          <w:rFonts w:ascii="Aptos" w:hAnsi="Aptos"/>
          <w:b/>
          <w:bCs/>
          <w:color w:val="002060"/>
        </w:rPr>
        <w:t>GDPR</w:t>
      </w:r>
      <w:r w:rsidR="003E6E43">
        <w:rPr>
          <w:rFonts w:ascii="Aptos" w:hAnsi="Aptos"/>
          <w:b/>
          <w:bCs/>
          <w:color w:val="002060"/>
        </w:rPr>
        <w:t xml:space="preserve">: scientific research </w:t>
      </w:r>
      <w:r w:rsidR="00F331EF" w:rsidRPr="00F331EF">
        <w:rPr>
          <w:rFonts w:ascii="Aptos" w:hAnsi="Aptos"/>
          <w:b/>
          <w:bCs/>
          <w:color w:val="002060"/>
        </w:rPr>
        <w:t xml:space="preserve"> </w:t>
      </w:r>
    </w:p>
    <w:p w14:paraId="53F4388D" w14:textId="0D43B86E" w:rsidR="002E1964" w:rsidRDefault="00F331EF" w:rsidP="00742BC3">
      <w:pPr>
        <w:jc w:val="both"/>
        <w:rPr>
          <w:rFonts w:ascii="Aptos" w:hAnsi="Aptos"/>
        </w:rPr>
      </w:pPr>
      <w:r w:rsidRPr="00252E40">
        <w:rPr>
          <w:rFonts w:ascii="Aptos" w:hAnsi="Aptos"/>
          <w:b/>
          <w:bCs/>
        </w:rPr>
        <w:t xml:space="preserve">We welcome the </w:t>
      </w:r>
      <w:r w:rsidR="009F6279" w:rsidRPr="00252E40">
        <w:rPr>
          <w:rFonts w:ascii="Aptos" w:hAnsi="Aptos"/>
          <w:b/>
          <w:bCs/>
        </w:rPr>
        <w:t>alignment</w:t>
      </w:r>
      <w:r w:rsidRPr="00252E40">
        <w:rPr>
          <w:rFonts w:ascii="Aptos" w:hAnsi="Aptos"/>
          <w:b/>
          <w:bCs/>
        </w:rPr>
        <w:t xml:space="preserve"> of the same definitions across different legislations</w:t>
      </w:r>
      <w:r w:rsidR="008453F1" w:rsidRPr="00252E40">
        <w:rPr>
          <w:rFonts w:ascii="Aptos" w:hAnsi="Aptos"/>
          <w:b/>
          <w:bCs/>
        </w:rPr>
        <w:t>, which provides clarity in data use</w:t>
      </w:r>
      <w:r w:rsidR="002F648A" w:rsidRPr="00252E40">
        <w:rPr>
          <w:rFonts w:ascii="Aptos" w:hAnsi="Aptos"/>
          <w:b/>
          <w:bCs/>
        </w:rPr>
        <w:t xml:space="preserve"> and contributes to greater legal certainty</w:t>
      </w:r>
      <w:r w:rsidR="008453F1" w:rsidRPr="00252E40">
        <w:rPr>
          <w:rFonts w:ascii="Aptos" w:hAnsi="Aptos"/>
          <w:b/>
          <w:bCs/>
        </w:rPr>
        <w:t xml:space="preserve">. Besides, the </w:t>
      </w:r>
      <w:r w:rsidR="00CF4BF1" w:rsidRPr="00252E40">
        <w:rPr>
          <w:rFonts w:ascii="Aptos" w:hAnsi="Aptos"/>
          <w:b/>
          <w:bCs/>
        </w:rPr>
        <w:t xml:space="preserve">new definition on ‘scientific research’, which includes </w:t>
      </w:r>
      <w:r w:rsidR="005B704C" w:rsidRPr="00252E40">
        <w:rPr>
          <w:rFonts w:ascii="Aptos" w:hAnsi="Aptos"/>
          <w:b/>
          <w:bCs/>
        </w:rPr>
        <w:t xml:space="preserve">research that support innovation </w:t>
      </w:r>
      <w:r w:rsidR="002F1775" w:rsidRPr="00252E40">
        <w:rPr>
          <w:rFonts w:ascii="Aptos" w:hAnsi="Aptos"/>
          <w:b/>
          <w:bCs/>
        </w:rPr>
        <w:t>and aim to further a commercial interest</w:t>
      </w:r>
      <w:r w:rsidR="009A1139">
        <w:rPr>
          <w:rFonts w:ascii="Aptos" w:hAnsi="Aptos"/>
          <w:b/>
          <w:bCs/>
        </w:rPr>
        <w:t xml:space="preserve">, </w:t>
      </w:r>
      <w:r w:rsidR="00196162">
        <w:rPr>
          <w:rFonts w:ascii="Aptos" w:hAnsi="Aptos"/>
          <w:b/>
          <w:bCs/>
        </w:rPr>
        <w:t>together</w:t>
      </w:r>
      <w:r w:rsidR="009A1139">
        <w:rPr>
          <w:rFonts w:ascii="Aptos" w:hAnsi="Aptos"/>
          <w:b/>
          <w:bCs/>
        </w:rPr>
        <w:t xml:space="preserve"> with the amendments in Art. 5(1)(b) GDPR,</w:t>
      </w:r>
      <w:r w:rsidR="002F1775" w:rsidRPr="00252E40">
        <w:rPr>
          <w:rFonts w:ascii="Aptos" w:hAnsi="Aptos"/>
          <w:b/>
          <w:bCs/>
        </w:rPr>
        <w:t xml:space="preserve"> </w:t>
      </w:r>
      <w:r w:rsidR="009A1139">
        <w:rPr>
          <w:rFonts w:ascii="Aptos" w:hAnsi="Aptos"/>
          <w:b/>
          <w:bCs/>
        </w:rPr>
        <w:t>are</w:t>
      </w:r>
      <w:r w:rsidR="002F1775" w:rsidRPr="00252E40">
        <w:rPr>
          <w:rFonts w:ascii="Aptos" w:hAnsi="Aptos"/>
          <w:b/>
          <w:bCs/>
        </w:rPr>
        <w:t xml:space="preserve"> </w:t>
      </w:r>
      <w:r w:rsidR="00613929" w:rsidRPr="00252E40">
        <w:rPr>
          <w:rFonts w:ascii="Aptos" w:hAnsi="Aptos"/>
          <w:b/>
          <w:bCs/>
        </w:rPr>
        <w:t>particularly valuable</w:t>
      </w:r>
      <w:r w:rsidR="002F1775" w:rsidRPr="00252E40">
        <w:rPr>
          <w:rFonts w:ascii="Aptos" w:hAnsi="Aptos"/>
          <w:b/>
          <w:bCs/>
        </w:rPr>
        <w:t>.</w:t>
      </w:r>
      <w:r w:rsidR="002F1775">
        <w:rPr>
          <w:rFonts w:ascii="Aptos" w:hAnsi="Aptos"/>
        </w:rPr>
        <w:t xml:space="preserve"> </w:t>
      </w:r>
      <w:r w:rsidR="00C54F75">
        <w:rPr>
          <w:rFonts w:ascii="Aptos" w:hAnsi="Aptos"/>
        </w:rPr>
        <w:t>The amendments</w:t>
      </w:r>
      <w:r w:rsidR="00613929">
        <w:rPr>
          <w:rFonts w:ascii="Aptos" w:hAnsi="Aptos"/>
        </w:rPr>
        <w:t xml:space="preserve"> </w:t>
      </w:r>
      <w:r w:rsidR="00C54F75">
        <w:rPr>
          <w:rFonts w:ascii="Aptos" w:hAnsi="Aptos"/>
        </w:rPr>
        <w:t xml:space="preserve">will </w:t>
      </w:r>
      <w:r w:rsidR="00613929">
        <w:rPr>
          <w:rFonts w:ascii="Aptos" w:hAnsi="Aptos"/>
        </w:rPr>
        <w:t>enable</w:t>
      </w:r>
      <w:r w:rsidR="00B474DE">
        <w:rPr>
          <w:rFonts w:ascii="Aptos" w:hAnsi="Aptos"/>
        </w:rPr>
        <w:t xml:space="preserve"> companies to gain insight</w:t>
      </w:r>
      <w:r w:rsidR="00037ED4">
        <w:rPr>
          <w:rFonts w:ascii="Aptos" w:hAnsi="Aptos"/>
        </w:rPr>
        <w:t xml:space="preserve">s necessary to </w:t>
      </w:r>
      <w:r w:rsidR="00BB4FCC">
        <w:rPr>
          <w:rFonts w:ascii="Aptos" w:hAnsi="Aptos"/>
        </w:rPr>
        <w:t xml:space="preserve">improve and </w:t>
      </w:r>
      <w:r w:rsidR="00037ED4">
        <w:rPr>
          <w:rFonts w:ascii="Aptos" w:hAnsi="Aptos"/>
        </w:rPr>
        <w:t xml:space="preserve">market their products and services effectively. </w:t>
      </w:r>
      <w:r w:rsidR="00BB4FCC">
        <w:rPr>
          <w:rFonts w:ascii="Aptos" w:hAnsi="Aptos"/>
        </w:rPr>
        <w:t>Moreover</w:t>
      </w:r>
      <w:r w:rsidR="00037ED4">
        <w:rPr>
          <w:rFonts w:ascii="Aptos" w:hAnsi="Aptos"/>
        </w:rPr>
        <w:t>, it gives companies the flexibility to choose between carrying out studies in</w:t>
      </w:r>
      <w:r w:rsidR="002A0995">
        <w:rPr>
          <w:rFonts w:ascii="Aptos" w:hAnsi="Aptos"/>
        </w:rPr>
        <w:t xml:space="preserve">house or to outsource these to external </w:t>
      </w:r>
      <w:r w:rsidR="00252E40">
        <w:rPr>
          <w:rFonts w:ascii="Aptos" w:hAnsi="Aptos"/>
        </w:rPr>
        <w:t xml:space="preserve">specialised </w:t>
      </w:r>
      <w:r w:rsidR="002A0995">
        <w:rPr>
          <w:rFonts w:ascii="Aptos" w:hAnsi="Aptos"/>
        </w:rPr>
        <w:t xml:space="preserve">research companies. </w:t>
      </w:r>
      <w:r w:rsidR="008453F1">
        <w:rPr>
          <w:rFonts w:ascii="Aptos" w:hAnsi="Aptos"/>
        </w:rPr>
        <w:t xml:space="preserve"> </w:t>
      </w:r>
      <w:r w:rsidR="00557102" w:rsidRPr="000F6EEB">
        <w:rPr>
          <w:rFonts w:ascii="Aptos" w:hAnsi="Aptos"/>
          <w:b/>
          <w:bCs/>
        </w:rPr>
        <w:t>This clarity ultimately supports economic growth and fosters research and innovation that are both responsible and practically relevant.</w:t>
      </w:r>
      <w:r w:rsidR="00557102">
        <w:rPr>
          <w:rFonts w:ascii="Aptos" w:hAnsi="Aptos"/>
        </w:rPr>
        <w:t xml:space="preserve"> </w:t>
      </w:r>
      <w:r w:rsidR="002E1964" w:rsidRPr="002E1964">
        <w:rPr>
          <w:rFonts w:ascii="Aptos" w:hAnsi="Aptos"/>
        </w:rPr>
        <w:t xml:space="preserve">A minor drafting refinement could be considered: replacing the phrase “independent of” with “notwithstanding” or “regardless,” which may provide greater legal </w:t>
      </w:r>
      <w:r w:rsidR="002E1964">
        <w:rPr>
          <w:rFonts w:ascii="Aptos" w:hAnsi="Aptos"/>
        </w:rPr>
        <w:t>consistency</w:t>
      </w:r>
      <w:r w:rsidR="002E1964" w:rsidRPr="002E1964">
        <w:rPr>
          <w:rFonts w:ascii="Aptos" w:hAnsi="Aptos"/>
        </w:rPr>
        <w:t>.</w:t>
      </w:r>
    </w:p>
    <w:p w14:paraId="00549DAB" w14:textId="58DD1406" w:rsidR="00794D47" w:rsidRPr="00B3697A" w:rsidRDefault="00B3697A" w:rsidP="00742BC3">
      <w:pPr>
        <w:jc w:val="both"/>
        <w:rPr>
          <w:rFonts w:ascii="Aptos" w:hAnsi="Aptos"/>
          <w:b/>
          <w:bCs/>
          <w:color w:val="00B0F0"/>
          <w:sz w:val="28"/>
          <w:szCs w:val="28"/>
        </w:rPr>
      </w:pPr>
      <w:r w:rsidRPr="00B3697A">
        <w:rPr>
          <w:rFonts w:ascii="Aptos" w:hAnsi="Aptos"/>
          <w:b/>
          <w:bCs/>
          <w:color w:val="00B0F0"/>
          <w:sz w:val="28"/>
          <w:szCs w:val="28"/>
        </w:rPr>
        <w:t xml:space="preserve">Fostering </w:t>
      </w:r>
      <w:r w:rsidR="00AA0564">
        <w:rPr>
          <w:rFonts w:ascii="Aptos" w:hAnsi="Aptos"/>
          <w:b/>
          <w:bCs/>
          <w:color w:val="00B0F0"/>
          <w:sz w:val="28"/>
          <w:szCs w:val="28"/>
        </w:rPr>
        <w:t>global competitiveness</w:t>
      </w:r>
      <w:r w:rsidR="00D5518C">
        <w:rPr>
          <w:rFonts w:ascii="Aptos" w:hAnsi="Aptos"/>
          <w:b/>
          <w:bCs/>
          <w:color w:val="00B0F0"/>
          <w:sz w:val="28"/>
          <w:szCs w:val="28"/>
        </w:rPr>
        <w:t xml:space="preserve"> through </w:t>
      </w:r>
      <w:r w:rsidR="009049DD">
        <w:rPr>
          <w:rFonts w:ascii="Aptos" w:hAnsi="Aptos"/>
          <w:b/>
          <w:bCs/>
          <w:color w:val="00B0F0"/>
          <w:sz w:val="28"/>
          <w:szCs w:val="28"/>
        </w:rPr>
        <w:t>ethical</w:t>
      </w:r>
      <w:r w:rsidR="00B852C0">
        <w:rPr>
          <w:rFonts w:ascii="Aptos" w:hAnsi="Aptos"/>
          <w:b/>
          <w:bCs/>
          <w:color w:val="00B0F0"/>
          <w:sz w:val="28"/>
          <w:szCs w:val="28"/>
        </w:rPr>
        <w:t xml:space="preserve"> </w:t>
      </w:r>
      <w:r w:rsidRPr="00B3697A">
        <w:rPr>
          <w:rFonts w:ascii="Aptos" w:hAnsi="Aptos"/>
          <w:b/>
          <w:bCs/>
          <w:color w:val="00B0F0"/>
          <w:sz w:val="28"/>
          <w:szCs w:val="28"/>
        </w:rPr>
        <w:t xml:space="preserve">AI development </w:t>
      </w:r>
      <w:r w:rsidR="009A373D">
        <w:rPr>
          <w:rFonts w:ascii="Aptos" w:hAnsi="Aptos"/>
          <w:b/>
          <w:bCs/>
          <w:color w:val="00B0F0"/>
          <w:sz w:val="28"/>
          <w:szCs w:val="28"/>
        </w:rPr>
        <w:t>and</w:t>
      </w:r>
      <w:r w:rsidRPr="00B3697A">
        <w:rPr>
          <w:rFonts w:ascii="Aptos" w:hAnsi="Aptos"/>
          <w:b/>
          <w:bCs/>
          <w:color w:val="00B0F0"/>
          <w:sz w:val="28"/>
          <w:szCs w:val="28"/>
        </w:rPr>
        <w:t xml:space="preserve"> streamlined GDPR</w:t>
      </w:r>
      <w:r w:rsidR="002C70D4">
        <w:rPr>
          <w:rFonts w:ascii="Aptos" w:hAnsi="Aptos"/>
          <w:b/>
          <w:bCs/>
          <w:color w:val="00B0F0"/>
          <w:sz w:val="28"/>
          <w:szCs w:val="28"/>
        </w:rPr>
        <w:t xml:space="preserve">, </w:t>
      </w:r>
      <w:r w:rsidRPr="00B3697A">
        <w:rPr>
          <w:rFonts w:ascii="Aptos" w:hAnsi="Aptos"/>
          <w:b/>
          <w:bCs/>
          <w:color w:val="00B0F0"/>
          <w:sz w:val="28"/>
          <w:szCs w:val="28"/>
        </w:rPr>
        <w:t>AI</w:t>
      </w:r>
      <w:r w:rsidR="002C70D4">
        <w:rPr>
          <w:rFonts w:ascii="Aptos" w:hAnsi="Aptos"/>
          <w:b/>
          <w:bCs/>
          <w:color w:val="00B0F0"/>
          <w:sz w:val="28"/>
          <w:szCs w:val="28"/>
        </w:rPr>
        <w:t xml:space="preserve"> and </w:t>
      </w:r>
      <w:r w:rsidR="00FC652A">
        <w:rPr>
          <w:rFonts w:ascii="Aptos" w:hAnsi="Aptos"/>
          <w:b/>
          <w:bCs/>
          <w:color w:val="00B0F0"/>
          <w:sz w:val="28"/>
          <w:szCs w:val="28"/>
        </w:rPr>
        <w:t>cybersecurity</w:t>
      </w:r>
      <w:r w:rsidRPr="00B3697A">
        <w:rPr>
          <w:rFonts w:ascii="Aptos" w:hAnsi="Aptos"/>
          <w:b/>
          <w:bCs/>
          <w:color w:val="00B0F0"/>
          <w:sz w:val="28"/>
          <w:szCs w:val="28"/>
        </w:rPr>
        <w:t xml:space="preserve"> rules </w:t>
      </w:r>
    </w:p>
    <w:p w14:paraId="59F4376A" w14:textId="1F649D99" w:rsidR="00B3697A" w:rsidRPr="00866D5A" w:rsidRDefault="00A270D4" w:rsidP="00866D5A">
      <w:pPr>
        <w:pStyle w:val="ListParagraph"/>
        <w:numPr>
          <w:ilvl w:val="0"/>
          <w:numId w:val="15"/>
        </w:numPr>
        <w:jc w:val="both"/>
        <w:rPr>
          <w:rFonts w:ascii="Aptos" w:hAnsi="Aptos"/>
          <w:b/>
          <w:bCs/>
          <w:color w:val="002060"/>
        </w:rPr>
      </w:pPr>
      <w:r w:rsidRPr="00866D5A">
        <w:rPr>
          <w:rFonts w:ascii="Aptos" w:hAnsi="Aptos"/>
          <w:b/>
          <w:bCs/>
          <w:color w:val="002060"/>
        </w:rPr>
        <w:t>Targeted amendments under Art. 9 and Art. 88c GDPR</w:t>
      </w:r>
      <w:r w:rsidR="00837246">
        <w:rPr>
          <w:rFonts w:ascii="Aptos" w:hAnsi="Aptos"/>
          <w:b/>
          <w:bCs/>
          <w:color w:val="002060"/>
        </w:rPr>
        <w:t xml:space="preserve">: </w:t>
      </w:r>
      <w:r w:rsidR="005E693D">
        <w:rPr>
          <w:rFonts w:ascii="Aptos" w:hAnsi="Aptos"/>
          <w:b/>
          <w:bCs/>
          <w:color w:val="002060"/>
        </w:rPr>
        <w:t xml:space="preserve">new </w:t>
      </w:r>
      <w:r w:rsidR="00837246">
        <w:rPr>
          <w:rFonts w:ascii="Aptos" w:hAnsi="Aptos"/>
          <w:b/>
          <w:bCs/>
          <w:color w:val="002060"/>
        </w:rPr>
        <w:t xml:space="preserve">processing grounds for special categories of personal data </w:t>
      </w:r>
      <w:r w:rsidRPr="00866D5A">
        <w:rPr>
          <w:rFonts w:ascii="Aptos" w:hAnsi="Aptos"/>
          <w:b/>
          <w:bCs/>
          <w:color w:val="002060"/>
        </w:rPr>
        <w:t xml:space="preserve"> </w:t>
      </w:r>
    </w:p>
    <w:p w14:paraId="23516017" w14:textId="509CC0D2" w:rsidR="00B3697A" w:rsidRDefault="00395C66" w:rsidP="00742BC3">
      <w:pPr>
        <w:jc w:val="both"/>
        <w:rPr>
          <w:rFonts w:ascii="Aptos" w:hAnsi="Aptos"/>
          <w:b/>
          <w:bCs/>
        </w:rPr>
      </w:pPr>
      <w:r w:rsidRPr="00164FE3">
        <w:rPr>
          <w:rFonts w:ascii="Aptos" w:hAnsi="Aptos"/>
          <w:b/>
          <w:bCs/>
        </w:rPr>
        <w:t>FEDMA welcomes the two additional</w:t>
      </w:r>
      <w:r w:rsidR="00695FAD" w:rsidRPr="00164FE3">
        <w:rPr>
          <w:rFonts w:ascii="Aptos" w:hAnsi="Aptos"/>
          <w:b/>
          <w:bCs/>
        </w:rPr>
        <w:t xml:space="preserve"> processing grounds </w:t>
      </w:r>
      <w:r w:rsidR="00B739B6" w:rsidRPr="00164FE3">
        <w:rPr>
          <w:rFonts w:ascii="Aptos" w:hAnsi="Aptos"/>
          <w:b/>
          <w:bCs/>
        </w:rPr>
        <w:t xml:space="preserve">for special categories of personal data </w:t>
      </w:r>
      <w:r w:rsidR="00695FAD" w:rsidRPr="00164FE3">
        <w:rPr>
          <w:rFonts w:ascii="Aptos" w:hAnsi="Aptos"/>
          <w:b/>
          <w:bCs/>
        </w:rPr>
        <w:t>in Art. 9(2) GDPR</w:t>
      </w:r>
      <w:r w:rsidR="00B739B6" w:rsidRPr="00164FE3">
        <w:rPr>
          <w:rFonts w:ascii="Aptos" w:hAnsi="Aptos"/>
          <w:b/>
          <w:bCs/>
        </w:rPr>
        <w:t>.</w:t>
      </w:r>
      <w:r w:rsidR="00B739B6">
        <w:rPr>
          <w:rFonts w:ascii="Aptos" w:hAnsi="Aptos"/>
        </w:rPr>
        <w:t xml:space="preserve"> </w:t>
      </w:r>
      <w:r w:rsidR="00583704">
        <w:rPr>
          <w:rFonts w:ascii="Aptos" w:hAnsi="Aptos"/>
        </w:rPr>
        <w:t>When combined</w:t>
      </w:r>
      <w:r w:rsidR="00B739B6">
        <w:rPr>
          <w:rFonts w:ascii="Aptos" w:hAnsi="Aptos"/>
        </w:rPr>
        <w:t xml:space="preserve"> with the </w:t>
      </w:r>
      <w:r w:rsidR="00583704">
        <w:rPr>
          <w:rFonts w:ascii="Aptos" w:hAnsi="Aptos"/>
        </w:rPr>
        <w:t>safeguards</w:t>
      </w:r>
      <w:r w:rsidR="00B739B6">
        <w:rPr>
          <w:rFonts w:ascii="Aptos" w:hAnsi="Aptos"/>
        </w:rPr>
        <w:t xml:space="preserve"> proposed in Art. 88(c) </w:t>
      </w:r>
      <w:r w:rsidR="00395BE7">
        <w:rPr>
          <w:rFonts w:ascii="Aptos" w:hAnsi="Aptos"/>
        </w:rPr>
        <w:t>‘amended’</w:t>
      </w:r>
      <w:r w:rsidR="00395BE7" w:rsidRPr="0079300D">
        <w:rPr>
          <w:rFonts w:ascii="Aptos" w:hAnsi="Aptos"/>
        </w:rPr>
        <w:t xml:space="preserve"> GDPR</w:t>
      </w:r>
      <w:r w:rsidR="00395BE7">
        <w:rPr>
          <w:rFonts w:ascii="Aptos" w:hAnsi="Aptos"/>
        </w:rPr>
        <w:t xml:space="preserve"> </w:t>
      </w:r>
      <w:r w:rsidR="0067510B">
        <w:rPr>
          <w:rFonts w:ascii="Aptos" w:hAnsi="Aptos"/>
        </w:rPr>
        <w:t xml:space="preserve">(i.e., </w:t>
      </w:r>
      <w:r w:rsidR="0067510B" w:rsidRPr="0067510B">
        <w:rPr>
          <w:rFonts w:ascii="Aptos" w:hAnsi="Aptos"/>
        </w:rPr>
        <w:t>appropriate organizational, technical measures and safeguards for the rights and freedoms of the data subject</w:t>
      </w:r>
      <w:r w:rsidR="0067510B">
        <w:rPr>
          <w:rFonts w:ascii="Aptos" w:hAnsi="Aptos"/>
        </w:rPr>
        <w:t>)</w:t>
      </w:r>
      <w:r w:rsidR="00395ECE">
        <w:rPr>
          <w:rFonts w:ascii="Aptos" w:hAnsi="Aptos"/>
        </w:rPr>
        <w:t xml:space="preserve">, </w:t>
      </w:r>
      <w:r w:rsidR="00286D5A">
        <w:rPr>
          <w:rFonts w:ascii="Aptos" w:hAnsi="Aptos"/>
        </w:rPr>
        <w:t xml:space="preserve">together with the existing </w:t>
      </w:r>
      <w:r w:rsidR="00210D38">
        <w:rPr>
          <w:rFonts w:ascii="Aptos" w:hAnsi="Aptos"/>
        </w:rPr>
        <w:t>security obligations</w:t>
      </w:r>
      <w:r w:rsidR="00286D5A">
        <w:rPr>
          <w:rFonts w:ascii="Aptos" w:hAnsi="Aptos"/>
        </w:rPr>
        <w:t xml:space="preserve"> in Art. 5(1)(f)</w:t>
      </w:r>
      <w:r w:rsidR="004E6D95">
        <w:rPr>
          <w:rFonts w:ascii="Aptos" w:hAnsi="Aptos"/>
        </w:rPr>
        <w:t xml:space="preserve"> GDPR, </w:t>
      </w:r>
      <w:r w:rsidR="00395ECE">
        <w:rPr>
          <w:rFonts w:ascii="Aptos" w:hAnsi="Aptos"/>
        </w:rPr>
        <w:t xml:space="preserve"> </w:t>
      </w:r>
      <w:r w:rsidR="008E4363" w:rsidRPr="008E4363">
        <w:rPr>
          <w:rFonts w:ascii="Aptos" w:hAnsi="Aptos"/>
        </w:rPr>
        <w:t>these provisions</w:t>
      </w:r>
      <w:r w:rsidR="008E4363">
        <w:rPr>
          <w:rFonts w:ascii="Aptos" w:hAnsi="Aptos"/>
        </w:rPr>
        <w:t xml:space="preserve"> </w:t>
      </w:r>
      <w:r w:rsidR="008E4363" w:rsidRPr="008E4363">
        <w:rPr>
          <w:rFonts w:ascii="Aptos" w:hAnsi="Aptos"/>
        </w:rPr>
        <w:t>provide legal certainty while ensuring that sensitive data can be processed responsibly and in a manner proportionate to the risks involved.</w:t>
      </w:r>
      <w:r w:rsidR="00D26D40">
        <w:rPr>
          <w:rFonts w:ascii="Aptos" w:hAnsi="Aptos"/>
        </w:rPr>
        <w:t xml:space="preserve"> </w:t>
      </w:r>
      <w:r w:rsidR="00164FE3" w:rsidRPr="00164FE3">
        <w:rPr>
          <w:rFonts w:ascii="Aptos" w:hAnsi="Aptos"/>
          <w:b/>
          <w:bCs/>
        </w:rPr>
        <w:t xml:space="preserve">This legal </w:t>
      </w:r>
      <w:r w:rsidR="00DA35F4">
        <w:rPr>
          <w:rFonts w:ascii="Aptos" w:hAnsi="Aptos"/>
          <w:b/>
          <w:bCs/>
        </w:rPr>
        <w:t>certainty</w:t>
      </w:r>
      <w:r w:rsidR="00164FE3" w:rsidRPr="00164FE3">
        <w:rPr>
          <w:rFonts w:ascii="Aptos" w:hAnsi="Aptos"/>
          <w:b/>
          <w:bCs/>
        </w:rPr>
        <w:t xml:space="preserve"> allows </w:t>
      </w:r>
      <w:r w:rsidR="00DA35F4">
        <w:rPr>
          <w:rFonts w:ascii="Aptos" w:hAnsi="Aptos"/>
          <w:b/>
          <w:bCs/>
        </w:rPr>
        <w:t>companies</w:t>
      </w:r>
      <w:r w:rsidR="00164FE3" w:rsidRPr="00164FE3">
        <w:rPr>
          <w:rFonts w:ascii="Aptos" w:hAnsi="Aptos"/>
          <w:b/>
          <w:bCs/>
        </w:rPr>
        <w:t xml:space="preserve">, including SMEs, to develop new products, improve services, and invest </w:t>
      </w:r>
      <w:r w:rsidR="00164FE3" w:rsidRPr="00164FE3">
        <w:rPr>
          <w:rFonts w:ascii="Aptos" w:hAnsi="Aptos"/>
          <w:b/>
          <w:bCs/>
        </w:rPr>
        <w:lastRenderedPageBreak/>
        <w:t>confidently in data</w:t>
      </w:r>
      <w:r w:rsidR="00164FE3" w:rsidRPr="00164FE3">
        <w:rPr>
          <w:rFonts w:ascii="Cambria Math" w:hAnsi="Cambria Math" w:cs="Cambria Math"/>
          <w:b/>
          <w:bCs/>
        </w:rPr>
        <w:t>‑</w:t>
      </w:r>
      <w:r w:rsidR="00164FE3" w:rsidRPr="00164FE3">
        <w:rPr>
          <w:rFonts w:ascii="Aptos" w:hAnsi="Aptos"/>
          <w:b/>
          <w:bCs/>
        </w:rPr>
        <w:t>driven development while maintaining high standards of data protection.</w:t>
      </w:r>
      <w:r w:rsidR="00164FE3">
        <w:rPr>
          <w:rFonts w:ascii="Aptos" w:hAnsi="Aptos"/>
          <w:b/>
          <w:bCs/>
        </w:rPr>
        <w:t xml:space="preserve"> </w:t>
      </w:r>
    </w:p>
    <w:p w14:paraId="35E322DC" w14:textId="3576A9D4" w:rsidR="00164FE3" w:rsidRDefault="00FB2261" w:rsidP="00742BC3">
      <w:pPr>
        <w:jc w:val="both"/>
        <w:rPr>
          <w:rFonts w:ascii="Aptos" w:hAnsi="Aptos"/>
        </w:rPr>
      </w:pPr>
      <w:r w:rsidRPr="00554A59">
        <w:rPr>
          <w:rFonts w:ascii="Aptos" w:hAnsi="Aptos"/>
        </w:rPr>
        <w:t xml:space="preserve">The above-mentioned amendment is even further strengthened by the added fifth paragraph in Art. 9 GDPR. </w:t>
      </w:r>
      <w:r w:rsidR="005C23FF" w:rsidRPr="00554A59">
        <w:rPr>
          <w:rFonts w:ascii="Aptos" w:hAnsi="Aptos"/>
        </w:rPr>
        <w:t xml:space="preserve">This paragraph aims at </w:t>
      </w:r>
      <w:r w:rsidR="009C3495" w:rsidRPr="00554A59">
        <w:rPr>
          <w:rFonts w:ascii="Aptos" w:hAnsi="Aptos"/>
        </w:rPr>
        <w:t xml:space="preserve">balancing the protection of special categories of data that could inadvertently </w:t>
      </w:r>
      <w:r w:rsidR="00466982" w:rsidRPr="00554A59">
        <w:rPr>
          <w:rFonts w:ascii="Aptos" w:hAnsi="Aptos"/>
        </w:rPr>
        <w:t xml:space="preserve">flow into the pool of data used for training an AI system. </w:t>
      </w:r>
      <w:r w:rsidR="000D2960" w:rsidRPr="00554A59">
        <w:rPr>
          <w:rFonts w:ascii="Aptos" w:hAnsi="Aptos"/>
        </w:rPr>
        <w:t xml:space="preserve">While it is for the industry to </w:t>
      </w:r>
      <w:r w:rsidR="009A69FC" w:rsidRPr="00554A59">
        <w:rPr>
          <w:rFonts w:ascii="Aptos" w:hAnsi="Aptos"/>
        </w:rPr>
        <w:t xml:space="preserve">figure out ways to prohibit the disclosure of such data to third parties, we believe </w:t>
      </w:r>
      <w:r w:rsidR="00EE43D2">
        <w:rPr>
          <w:rFonts w:ascii="Aptos" w:hAnsi="Aptos"/>
        </w:rPr>
        <w:t>it</w:t>
      </w:r>
      <w:r w:rsidR="009A69FC" w:rsidRPr="00554A59">
        <w:rPr>
          <w:rFonts w:ascii="Aptos" w:hAnsi="Aptos"/>
        </w:rPr>
        <w:t xml:space="preserve"> a realistic approach to close the </w:t>
      </w:r>
      <w:r w:rsidR="004E5E8A">
        <w:rPr>
          <w:rFonts w:ascii="Aptos" w:hAnsi="Aptos"/>
        </w:rPr>
        <w:t xml:space="preserve">regulatory </w:t>
      </w:r>
      <w:r w:rsidR="009A69FC" w:rsidRPr="00554A59">
        <w:rPr>
          <w:rFonts w:ascii="Aptos" w:hAnsi="Aptos"/>
        </w:rPr>
        <w:t>gap</w:t>
      </w:r>
      <w:r w:rsidR="004A1AC9">
        <w:rPr>
          <w:rFonts w:ascii="Aptos" w:hAnsi="Aptos"/>
        </w:rPr>
        <w:t xml:space="preserve"> between the </w:t>
      </w:r>
      <w:r w:rsidR="00154659">
        <w:rPr>
          <w:rFonts w:ascii="Aptos" w:hAnsi="Aptos"/>
        </w:rPr>
        <w:t xml:space="preserve">essential protection of special categories of personal data and the </w:t>
      </w:r>
      <w:r w:rsidR="006B26F0">
        <w:rPr>
          <w:rFonts w:ascii="Aptos" w:hAnsi="Aptos"/>
        </w:rPr>
        <w:t xml:space="preserve">practical </w:t>
      </w:r>
      <w:r w:rsidR="0062036A">
        <w:rPr>
          <w:rFonts w:ascii="Aptos" w:hAnsi="Aptos"/>
        </w:rPr>
        <w:t>reality that such data can inadvertently end up in AI training sets</w:t>
      </w:r>
      <w:r w:rsidR="009A69FC" w:rsidRPr="00554A59">
        <w:rPr>
          <w:rFonts w:ascii="Aptos" w:hAnsi="Aptos"/>
        </w:rPr>
        <w:t>.</w:t>
      </w:r>
      <w:r w:rsidR="009A69FC">
        <w:rPr>
          <w:rFonts w:ascii="Aptos" w:hAnsi="Aptos"/>
        </w:rPr>
        <w:t xml:space="preserve"> </w:t>
      </w:r>
      <w:r w:rsidR="00027140" w:rsidRPr="00554A59">
        <w:rPr>
          <w:rFonts w:ascii="Aptos" w:hAnsi="Aptos"/>
          <w:b/>
          <w:bCs/>
        </w:rPr>
        <w:t>An important drafting refinement could be considered</w:t>
      </w:r>
      <w:r w:rsidR="003A19C6" w:rsidRPr="00554A59">
        <w:rPr>
          <w:rFonts w:ascii="Aptos" w:hAnsi="Aptos"/>
          <w:b/>
          <w:bCs/>
        </w:rPr>
        <w:t>, namely ‘remove such data’ should be complemented by ‘</w:t>
      </w:r>
      <w:commentRangeStart w:id="7"/>
      <w:r w:rsidR="003A19C6" w:rsidRPr="00554A59">
        <w:rPr>
          <w:rFonts w:ascii="Aptos" w:hAnsi="Aptos"/>
          <w:b/>
          <w:bCs/>
        </w:rPr>
        <w:t>from the AI output’</w:t>
      </w:r>
      <w:r w:rsidR="008D679B" w:rsidRPr="00554A59">
        <w:rPr>
          <w:b/>
          <w:bCs/>
        </w:rPr>
        <w:t xml:space="preserve"> </w:t>
      </w:r>
      <w:commentRangeEnd w:id="7"/>
      <w:r w:rsidR="00935707">
        <w:rPr>
          <w:rStyle w:val="CommentReference"/>
        </w:rPr>
        <w:commentReference w:id="7"/>
      </w:r>
      <w:r w:rsidR="008D679B" w:rsidRPr="00554A59">
        <w:rPr>
          <w:b/>
          <w:bCs/>
        </w:rPr>
        <w:t>t</w:t>
      </w:r>
      <w:r w:rsidR="008D679B" w:rsidRPr="00554A59">
        <w:rPr>
          <w:rFonts w:ascii="Aptos" w:hAnsi="Aptos"/>
          <w:b/>
          <w:bCs/>
        </w:rPr>
        <w:t>o ensure clarity regarding the intended scope of the obligation</w:t>
      </w:r>
      <w:r w:rsidR="003A19C6">
        <w:rPr>
          <w:rFonts w:ascii="Aptos" w:hAnsi="Aptos"/>
        </w:rPr>
        <w:t xml:space="preserve">. </w:t>
      </w:r>
    </w:p>
    <w:p w14:paraId="4981990D" w14:textId="11CB4FED" w:rsidR="000C7077" w:rsidRDefault="005259A1" w:rsidP="00742BC3">
      <w:pPr>
        <w:jc w:val="both"/>
        <w:rPr>
          <w:rFonts w:ascii="Aptos" w:hAnsi="Aptos"/>
        </w:rPr>
      </w:pPr>
      <w:r w:rsidRPr="004F2941">
        <w:rPr>
          <w:rFonts w:ascii="Aptos" w:hAnsi="Aptos"/>
          <w:b/>
          <w:bCs/>
        </w:rPr>
        <w:t xml:space="preserve">FEDMA welcomes the </w:t>
      </w:r>
      <w:r w:rsidR="00C819B4" w:rsidRPr="004F2941">
        <w:rPr>
          <w:rFonts w:ascii="Aptos" w:hAnsi="Aptos"/>
          <w:b/>
          <w:bCs/>
        </w:rPr>
        <w:t>amendment in Art. 88c ‘amended</w:t>
      </w:r>
      <w:r w:rsidR="007D7D54" w:rsidRPr="004F2941">
        <w:rPr>
          <w:rFonts w:ascii="Aptos" w:hAnsi="Aptos"/>
          <w:b/>
          <w:bCs/>
        </w:rPr>
        <w:t>’</w:t>
      </w:r>
      <w:r w:rsidR="00C819B4" w:rsidRPr="004F2941">
        <w:rPr>
          <w:rFonts w:ascii="Aptos" w:hAnsi="Aptos"/>
          <w:b/>
          <w:bCs/>
        </w:rPr>
        <w:t xml:space="preserve"> GDPR</w:t>
      </w:r>
      <w:r w:rsidR="007D7D54" w:rsidRPr="004F2941">
        <w:rPr>
          <w:rFonts w:ascii="Aptos" w:hAnsi="Aptos"/>
          <w:b/>
          <w:bCs/>
        </w:rPr>
        <w:t xml:space="preserve"> explicitly allowing </w:t>
      </w:r>
      <w:r w:rsidR="00C819B4" w:rsidRPr="004F2941">
        <w:rPr>
          <w:rFonts w:ascii="Aptos" w:hAnsi="Aptos"/>
          <w:b/>
          <w:bCs/>
        </w:rPr>
        <w:t>processing for legitimate interests</w:t>
      </w:r>
      <w:r w:rsidR="00394515" w:rsidRPr="004F2941">
        <w:rPr>
          <w:rFonts w:ascii="Aptos" w:hAnsi="Aptos"/>
          <w:b/>
          <w:bCs/>
        </w:rPr>
        <w:t xml:space="preserve"> </w:t>
      </w:r>
      <w:r w:rsidR="00601D32" w:rsidRPr="004F2941">
        <w:rPr>
          <w:rFonts w:ascii="Aptos" w:hAnsi="Aptos"/>
          <w:b/>
          <w:bCs/>
        </w:rPr>
        <w:t xml:space="preserve">when </w:t>
      </w:r>
      <w:r w:rsidR="00AD1B5E" w:rsidRPr="004F2941">
        <w:rPr>
          <w:rFonts w:ascii="Aptos" w:hAnsi="Aptos"/>
          <w:b/>
          <w:bCs/>
        </w:rPr>
        <w:t xml:space="preserve">necessary </w:t>
      </w:r>
      <w:r w:rsidR="00B34EB5" w:rsidRPr="004F2941">
        <w:rPr>
          <w:rFonts w:ascii="Aptos" w:hAnsi="Aptos"/>
          <w:b/>
          <w:bCs/>
        </w:rPr>
        <w:t xml:space="preserve">in the context of the development and operation of an AI system, mainly because it will </w:t>
      </w:r>
      <w:r w:rsidR="00AD1B5E" w:rsidRPr="004F2941">
        <w:rPr>
          <w:rFonts w:ascii="Aptos" w:hAnsi="Aptos"/>
          <w:b/>
          <w:bCs/>
        </w:rPr>
        <w:t>open</w:t>
      </w:r>
      <w:r w:rsidR="008647C6" w:rsidRPr="004F2941">
        <w:rPr>
          <w:rFonts w:ascii="Aptos" w:hAnsi="Aptos"/>
          <w:b/>
          <w:bCs/>
        </w:rPr>
        <w:t xml:space="preserve"> room for innovation all the while guaranteeing strong accountability for companies, ultimately leading to sustainable EU economic growth.</w:t>
      </w:r>
      <w:r w:rsidR="008647C6">
        <w:rPr>
          <w:rFonts w:ascii="Aptos" w:hAnsi="Aptos"/>
        </w:rPr>
        <w:t xml:space="preserve"> </w:t>
      </w:r>
      <w:r w:rsidR="0081126F">
        <w:rPr>
          <w:rFonts w:ascii="Aptos" w:hAnsi="Aptos"/>
        </w:rPr>
        <w:t xml:space="preserve">Unlike consent which </w:t>
      </w:r>
      <w:r w:rsidR="00E8727E">
        <w:rPr>
          <w:rFonts w:ascii="Aptos" w:hAnsi="Aptos"/>
        </w:rPr>
        <w:t xml:space="preserve">can be collected </w:t>
      </w:r>
      <w:r w:rsidR="00CA4546">
        <w:rPr>
          <w:rFonts w:ascii="Aptos" w:hAnsi="Aptos"/>
        </w:rPr>
        <w:t xml:space="preserve">in a formalistic </w:t>
      </w:r>
      <w:r w:rsidR="00E30436">
        <w:rPr>
          <w:rFonts w:ascii="Aptos" w:hAnsi="Aptos"/>
        </w:rPr>
        <w:t xml:space="preserve">and procedural </w:t>
      </w:r>
      <w:r w:rsidR="00AD1B5E">
        <w:rPr>
          <w:rFonts w:ascii="Aptos" w:hAnsi="Aptos"/>
        </w:rPr>
        <w:t xml:space="preserve">way, legitimate interest requires controllers to undertake rigorous and documented </w:t>
      </w:r>
      <w:r w:rsidR="001269AE">
        <w:rPr>
          <w:rFonts w:ascii="Aptos" w:hAnsi="Aptos"/>
        </w:rPr>
        <w:t xml:space="preserve">(risk) assessments, laying the ground for targeted safeguards </w:t>
      </w:r>
      <w:r w:rsidR="00725D19">
        <w:rPr>
          <w:rFonts w:ascii="Aptos" w:hAnsi="Aptos"/>
        </w:rPr>
        <w:t xml:space="preserve">for the data subjects’ GDPR rights. </w:t>
      </w:r>
      <w:r w:rsidR="00334C5F">
        <w:rPr>
          <w:rFonts w:ascii="Aptos" w:hAnsi="Aptos"/>
        </w:rPr>
        <w:t xml:space="preserve">As a result, processing on the basis of legitimate interest </w:t>
      </w:r>
      <w:r w:rsidR="00AC65E1">
        <w:rPr>
          <w:rFonts w:ascii="Aptos" w:hAnsi="Aptos"/>
        </w:rPr>
        <w:t xml:space="preserve">mandates robust accountability and aligns seamlessly with the GDPR’s risk-based </w:t>
      </w:r>
      <w:r w:rsidR="00DE2E28">
        <w:rPr>
          <w:rFonts w:ascii="Aptos" w:hAnsi="Aptos"/>
        </w:rPr>
        <w:t xml:space="preserve">approach. </w:t>
      </w:r>
    </w:p>
    <w:p w14:paraId="27CAD011" w14:textId="4D991D1F" w:rsidR="00866D5A" w:rsidRPr="00B31931" w:rsidRDefault="00866D5A" w:rsidP="00866D5A">
      <w:pPr>
        <w:pStyle w:val="ListParagraph"/>
        <w:numPr>
          <w:ilvl w:val="0"/>
          <w:numId w:val="15"/>
        </w:numPr>
        <w:jc w:val="both"/>
        <w:rPr>
          <w:rFonts w:ascii="Aptos" w:hAnsi="Aptos"/>
          <w:b/>
          <w:bCs/>
          <w:color w:val="002060"/>
        </w:rPr>
      </w:pPr>
      <w:r w:rsidRPr="00B31931">
        <w:rPr>
          <w:rFonts w:ascii="Aptos" w:hAnsi="Aptos"/>
          <w:b/>
          <w:bCs/>
          <w:color w:val="002060"/>
        </w:rPr>
        <w:t xml:space="preserve">Targeted amendments under Art. 4a </w:t>
      </w:r>
      <w:r w:rsidR="00395BE7" w:rsidRPr="00B31931">
        <w:rPr>
          <w:rFonts w:ascii="Aptos" w:hAnsi="Aptos"/>
          <w:b/>
          <w:bCs/>
          <w:color w:val="002060"/>
        </w:rPr>
        <w:t>‘amended’</w:t>
      </w:r>
      <w:r w:rsidRPr="00B31931">
        <w:rPr>
          <w:rFonts w:ascii="Aptos" w:hAnsi="Aptos"/>
          <w:b/>
          <w:bCs/>
          <w:color w:val="002060"/>
        </w:rPr>
        <w:t xml:space="preserve"> AI Act</w:t>
      </w:r>
      <w:r w:rsidR="005E693D">
        <w:rPr>
          <w:rFonts w:ascii="Aptos" w:hAnsi="Aptos"/>
          <w:b/>
          <w:bCs/>
          <w:color w:val="002060"/>
        </w:rPr>
        <w:t xml:space="preserve">: </w:t>
      </w:r>
      <w:r w:rsidR="003F4A90">
        <w:rPr>
          <w:rFonts w:ascii="Aptos" w:hAnsi="Aptos"/>
          <w:b/>
          <w:bCs/>
          <w:color w:val="002060"/>
        </w:rPr>
        <w:t xml:space="preserve">special categories of data for bias </w:t>
      </w:r>
      <w:r w:rsidR="008A1270">
        <w:rPr>
          <w:rFonts w:ascii="Aptos" w:hAnsi="Aptos"/>
          <w:b/>
          <w:bCs/>
          <w:color w:val="002060"/>
        </w:rPr>
        <w:t xml:space="preserve">detection and mitigation </w:t>
      </w:r>
    </w:p>
    <w:p w14:paraId="32DD26EA" w14:textId="2B03F9F9" w:rsidR="00866D5A" w:rsidRDefault="00C40F7B" w:rsidP="00742BC3">
      <w:pPr>
        <w:jc w:val="both"/>
        <w:rPr>
          <w:rFonts w:ascii="Aptos" w:hAnsi="Aptos"/>
        </w:rPr>
      </w:pPr>
      <w:r w:rsidRPr="000F7659">
        <w:rPr>
          <w:rFonts w:ascii="Aptos" w:hAnsi="Aptos"/>
          <w:b/>
          <w:bCs/>
        </w:rPr>
        <w:t>We welcome the clarification in Art</w:t>
      </w:r>
      <w:r w:rsidR="000F7659" w:rsidRPr="000F7659">
        <w:rPr>
          <w:rFonts w:ascii="Aptos" w:hAnsi="Aptos"/>
          <w:b/>
          <w:bCs/>
        </w:rPr>
        <w:t>.</w:t>
      </w:r>
      <w:r w:rsidRPr="000F7659">
        <w:rPr>
          <w:rFonts w:ascii="Aptos" w:hAnsi="Aptos"/>
          <w:b/>
          <w:bCs/>
        </w:rPr>
        <w:t xml:space="preserve"> 4a of the </w:t>
      </w:r>
      <w:r w:rsidR="000F7659" w:rsidRPr="000F7659">
        <w:rPr>
          <w:rFonts w:ascii="Aptos" w:hAnsi="Aptos"/>
          <w:b/>
          <w:bCs/>
        </w:rPr>
        <w:t xml:space="preserve">amended </w:t>
      </w:r>
      <w:r w:rsidRPr="000F7659">
        <w:rPr>
          <w:rFonts w:ascii="Aptos" w:hAnsi="Aptos"/>
          <w:b/>
          <w:bCs/>
        </w:rPr>
        <w:t xml:space="preserve">AI Act </w:t>
      </w:r>
      <w:r w:rsidR="000F7659" w:rsidRPr="000F7659">
        <w:rPr>
          <w:rFonts w:ascii="Aptos" w:hAnsi="Aptos"/>
          <w:b/>
          <w:bCs/>
        </w:rPr>
        <w:t>according to which</w:t>
      </w:r>
      <w:r w:rsidRPr="000F7659">
        <w:rPr>
          <w:rFonts w:ascii="Aptos" w:hAnsi="Aptos"/>
          <w:b/>
          <w:bCs/>
        </w:rPr>
        <w:t xml:space="preserve"> the mere processing of special categories of data does not in itself constitute discrimination. </w:t>
      </w:r>
      <w:r w:rsidRPr="00C40F7B">
        <w:rPr>
          <w:rFonts w:ascii="Aptos" w:hAnsi="Aptos"/>
        </w:rPr>
        <w:t>This amendment provides much</w:t>
      </w:r>
      <w:r w:rsidRPr="00C40F7B">
        <w:rPr>
          <w:rFonts w:ascii="Cambria Math" w:hAnsi="Cambria Math" w:cs="Cambria Math"/>
        </w:rPr>
        <w:t>‑</w:t>
      </w:r>
      <w:r w:rsidRPr="00C40F7B">
        <w:rPr>
          <w:rFonts w:ascii="Aptos" w:hAnsi="Aptos"/>
        </w:rPr>
        <w:t xml:space="preserve">needed legal certainty and supports the responsible development of AI systems that rely on sensitive data for legitimate and socially beneficial purposes. We are committed to advancing methods and deploying </w:t>
      </w:r>
      <w:r w:rsidR="00B25BA3">
        <w:rPr>
          <w:rFonts w:ascii="Aptos" w:hAnsi="Aptos"/>
        </w:rPr>
        <w:t>PETs</w:t>
      </w:r>
      <w:r w:rsidRPr="00C40F7B">
        <w:rPr>
          <w:rFonts w:ascii="Aptos" w:hAnsi="Aptos"/>
        </w:rPr>
        <w:t xml:space="preserve"> to address the associated challenges in a responsible</w:t>
      </w:r>
      <w:r w:rsidR="009B4842">
        <w:rPr>
          <w:rFonts w:ascii="Aptos" w:hAnsi="Aptos"/>
        </w:rPr>
        <w:t xml:space="preserve"> and</w:t>
      </w:r>
      <w:r w:rsidRPr="00C40F7B">
        <w:rPr>
          <w:rFonts w:ascii="Aptos" w:hAnsi="Aptos"/>
        </w:rPr>
        <w:t xml:space="preserve"> innovative</w:t>
      </w:r>
      <w:r w:rsidR="009B4842">
        <w:rPr>
          <w:rFonts w:ascii="Aptos" w:hAnsi="Aptos"/>
        </w:rPr>
        <w:t xml:space="preserve"> </w:t>
      </w:r>
      <w:r w:rsidRPr="00C40F7B">
        <w:rPr>
          <w:rFonts w:ascii="Aptos" w:hAnsi="Aptos"/>
        </w:rPr>
        <w:t xml:space="preserve">manner. </w:t>
      </w:r>
    </w:p>
    <w:p w14:paraId="6C1DCD49" w14:textId="06886E0F" w:rsidR="00FC652A" w:rsidRPr="003513E8" w:rsidRDefault="003513E8" w:rsidP="003513E8">
      <w:pPr>
        <w:pStyle w:val="ListParagraph"/>
        <w:numPr>
          <w:ilvl w:val="0"/>
          <w:numId w:val="15"/>
        </w:numPr>
        <w:jc w:val="both"/>
        <w:rPr>
          <w:rFonts w:ascii="Aptos" w:hAnsi="Aptos"/>
          <w:b/>
          <w:bCs/>
          <w:color w:val="002060"/>
        </w:rPr>
      </w:pPr>
      <w:r w:rsidRPr="003513E8">
        <w:rPr>
          <w:rFonts w:ascii="Aptos" w:hAnsi="Aptos"/>
          <w:b/>
          <w:bCs/>
          <w:color w:val="002060"/>
        </w:rPr>
        <w:t>Targeted amendments under Art.</w:t>
      </w:r>
      <w:r>
        <w:rPr>
          <w:rFonts w:ascii="Aptos" w:hAnsi="Aptos"/>
          <w:b/>
          <w:bCs/>
          <w:color w:val="002060"/>
        </w:rPr>
        <w:t xml:space="preserve"> 33(1) GDPR: </w:t>
      </w:r>
      <w:r w:rsidR="008A6B89">
        <w:rPr>
          <w:rFonts w:ascii="Aptos" w:hAnsi="Aptos"/>
          <w:b/>
          <w:bCs/>
          <w:color w:val="002060"/>
        </w:rPr>
        <w:t xml:space="preserve">notification of personal breaches </w:t>
      </w:r>
    </w:p>
    <w:p w14:paraId="20663E81" w14:textId="4A2D39CC" w:rsidR="003513E8" w:rsidRPr="003513E8" w:rsidRDefault="00CD7B78" w:rsidP="003513E8">
      <w:pPr>
        <w:jc w:val="both"/>
        <w:rPr>
          <w:rFonts w:ascii="Aptos" w:hAnsi="Aptos"/>
        </w:rPr>
      </w:pPr>
      <w:r w:rsidRPr="00F427A7">
        <w:rPr>
          <w:rFonts w:ascii="Aptos" w:hAnsi="Aptos"/>
        </w:rPr>
        <w:t xml:space="preserve">FEDMA welcomes the amendments in Art. 33(1) GDPR which </w:t>
      </w:r>
      <w:r w:rsidR="00DD6A0E" w:rsidRPr="00AB77AC">
        <w:rPr>
          <w:rFonts w:ascii="Aptos" w:hAnsi="Aptos"/>
          <w:b/>
          <w:bCs/>
        </w:rPr>
        <w:t xml:space="preserve">better </w:t>
      </w:r>
      <w:r w:rsidR="002F2B47" w:rsidRPr="00AB77AC">
        <w:rPr>
          <w:rFonts w:ascii="Aptos" w:hAnsi="Aptos"/>
          <w:b/>
          <w:bCs/>
        </w:rPr>
        <w:t xml:space="preserve">align </w:t>
      </w:r>
      <w:r w:rsidR="00DD6A0E" w:rsidRPr="00AB77AC">
        <w:rPr>
          <w:rFonts w:ascii="Aptos" w:hAnsi="Aptos"/>
          <w:b/>
          <w:bCs/>
        </w:rPr>
        <w:t>personal data breach notifications</w:t>
      </w:r>
      <w:r w:rsidR="00373210" w:rsidRPr="00AB77AC">
        <w:rPr>
          <w:rFonts w:ascii="Aptos" w:hAnsi="Aptos"/>
          <w:b/>
          <w:bCs/>
        </w:rPr>
        <w:t xml:space="preserve"> in several legislations</w:t>
      </w:r>
      <w:r w:rsidR="00373210" w:rsidRPr="00F427A7">
        <w:rPr>
          <w:rFonts w:ascii="Aptos" w:hAnsi="Aptos"/>
        </w:rPr>
        <w:t xml:space="preserve"> (e.g., GDPR, NIS2</w:t>
      </w:r>
      <w:r w:rsidR="008917D0" w:rsidRPr="00F427A7">
        <w:rPr>
          <w:rStyle w:val="FootnoteReference"/>
          <w:rFonts w:ascii="Aptos" w:hAnsi="Aptos"/>
        </w:rPr>
        <w:footnoteReference w:id="12"/>
      </w:r>
      <w:r w:rsidR="00373210" w:rsidRPr="00F427A7">
        <w:rPr>
          <w:rFonts w:ascii="Aptos" w:hAnsi="Aptos"/>
        </w:rPr>
        <w:t>)</w:t>
      </w:r>
      <w:r w:rsidR="00601442" w:rsidRPr="00F427A7">
        <w:rPr>
          <w:rFonts w:ascii="Aptos" w:hAnsi="Aptos"/>
        </w:rPr>
        <w:t>. FEDMA also supports the clarification</w:t>
      </w:r>
      <w:r w:rsidR="00601442" w:rsidRPr="00601442">
        <w:rPr>
          <w:rFonts w:ascii="Aptos" w:hAnsi="Aptos"/>
        </w:rPr>
        <w:t xml:space="preserve"> that notification is required only where a personal data breach is likely to result in a high risk to the rights and freedoms of natural persons, as </w:t>
      </w:r>
      <w:r w:rsidR="00601442" w:rsidRPr="00AB77AC">
        <w:rPr>
          <w:rFonts w:ascii="Aptos" w:hAnsi="Aptos"/>
          <w:b/>
          <w:bCs/>
        </w:rPr>
        <w:t>this raises the threshold for controllers and reduces unnecessary notifications while maintaining strong protection for individuals</w:t>
      </w:r>
      <w:r w:rsidR="00601442" w:rsidRPr="00601442">
        <w:rPr>
          <w:rFonts w:ascii="Aptos" w:hAnsi="Aptos"/>
        </w:rPr>
        <w:t>.</w:t>
      </w:r>
      <w:r w:rsidR="00601442">
        <w:rPr>
          <w:rFonts w:ascii="Aptos" w:hAnsi="Aptos"/>
        </w:rPr>
        <w:t xml:space="preserve"> </w:t>
      </w:r>
      <w:r w:rsidR="001C672A">
        <w:rPr>
          <w:rFonts w:ascii="Aptos" w:hAnsi="Aptos"/>
        </w:rPr>
        <w:t xml:space="preserve">However, FEDMA foresees that </w:t>
      </w:r>
      <w:r w:rsidR="00AD3831">
        <w:rPr>
          <w:rFonts w:ascii="Aptos" w:hAnsi="Aptos"/>
        </w:rPr>
        <w:t xml:space="preserve">the reference to ‘high risk’ resulting from a </w:t>
      </w:r>
      <w:r w:rsidR="00B47563">
        <w:rPr>
          <w:rFonts w:ascii="Aptos" w:hAnsi="Aptos"/>
        </w:rPr>
        <w:t xml:space="preserve">personal data </w:t>
      </w:r>
      <w:r w:rsidR="00AD3831">
        <w:rPr>
          <w:rFonts w:ascii="Aptos" w:hAnsi="Aptos"/>
        </w:rPr>
        <w:t xml:space="preserve">breach could lead to </w:t>
      </w:r>
      <w:r w:rsidR="00E267ED">
        <w:rPr>
          <w:rFonts w:ascii="Aptos" w:hAnsi="Aptos"/>
        </w:rPr>
        <w:t xml:space="preserve">difficulties, particularly for SMEs, because the GDPR does not define this concept. </w:t>
      </w:r>
      <w:r w:rsidR="008B7E97">
        <w:rPr>
          <w:rFonts w:ascii="Aptos" w:hAnsi="Aptos"/>
        </w:rPr>
        <w:lastRenderedPageBreak/>
        <w:t>While reliance on existing guidelines</w:t>
      </w:r>
      <w:r w:rsidR="00B47563">
        <w:rPr>
          <w:rStyle w:val="FootnoteReference"/>
          <w:rFonts w:ascii="Aptos" w:hAnsi="Aptos"/>
        </w:rPr>
        <w:footnoteReference w:id="13"/>
      </w:r>
      <w:r w:rsidR="008B7E97">
        <w:rPr>
          <w:rFonts w:ascii="Aptos" w:hAnsi="Aptos"/>
        </w:rPr>
        <w:t xml:space="preserve"> and national </w:t>
      </w:r>
      <w:r w:rsidR="00E77438">
        <w:rPr>
          <w:rFonts w:ascii="Aptos" w:hAnsi="Aptos"/>
        </w:rPr>
        <w:t>guidance</w:t>
      </w:r>
      <w:r w:rsidR="008B7E97">
        <w:rPr>
          <w:rFonts w:ascii="Aptos" w:hAnsi="Aptos"/>
        </w:rPr>
        <w:t xml:space="preserve"> </w:t>
      </w:r>
      <w:r w:rsidR="00E77438">
        <w:rPr>
          <w:rFonts w:ascii="Aptos" w:hAnsi="Aptos"/>
        </w:rPr>
        <w:t>provides for some steering, the existing fragmentation</w:t>
      </w:r>
      <w:r w:rsidR="00B47563">
        <w:rPr>
          <w:rFonts w:ascii="Aptos" w:hAnsi="Aptos"/>
        </w:rPr>
        <w:t xml:space="preserve"> due to interpretative differences</w:t>
      </w:r>
      <w:r w:rsidR="00E77438">
        <w:rPr>
          <w:rFonts w:ascii="Aptos" w:hAnsi="Aptos"/>
        </w:rPr>
        <w:t>, difficulties</w:t>
      </w:r>
      <w:r w:rsidR="00D8318D">
        <w:rPr>
          <w:rFonts w:ascii="Aptos" w:hAnsi="Aptos"/>
        </w:rPr>
        <w:t xml:space="preserve"> (relating to the time pressure under which a</w:t>
      </w:r>
      <w:r w:rsidR="003A27F3">
        <w:rPr>
          <w:rFonts w:ascii="Aptos" w:hAnsi="Aptos"/>
        </w:rPr>
        <w:t xml:space="preserve"> human-centric</w:t>
      </w:r>
      <w:r w:rsidR="00D8318D">
        <w:rPr>
          <w:rFonts w:ascii="Aptos" w:hAnsi="Aptos"/>
        </w:rPr>
        <w:t xml:space="preserve"> assessment must be </w:t>
      </w:r>
      <w:r w:rsidR="003A27F3">
        <w:rPr>
          <w:rFonts w:ascii="Aptos" w:hAnsi="Aptos"/>
        </w:rPr>
        <w:t>completed</w:t>
      </w:r>
      <w:r w:rsidR="00D8318D">
        <w:rPr>
          <w:rFonts w:ascii="Aptos" w:hAnsi="Aptos"/>
        </w:rPr>
        <w:t>)</w:t>
      </w:r>
      <w:r w:rsidR="00E77438">
        <w:rPr>
          <w:rFonts w:ascii="Aptos" w:hAnsi="Aptos"/>
        </w:rPr>
        <w:t xml:space="preserve"> and legal uncertainty will remain. </w:t>
      </w:r>
      <w:r w:rsidR="00806A4E">
        <w:rPr>
          <w:rFonts w:ascii="Aptos" w:hAnsi="Aptos"/>
        </w:rPr>
        <w:t xml:space="preserve">We would therefore support a </w:t>
      </w:r>
      <w:commentRangeStart w:id="8"/>
      <w:r w:rsidR="00806A4E">
        <w:rPr>
          <w:rFonts w:ascii="Aptos" w:hAnsi="Aptos"/>
        </w:rPr>
        <w:t xml:space="preserve">recital </w:t>
      </w:r>
      <w:r w:rsidR="00E8588D">
        <w:rPr>
          <w:rFonts w:ascii="Aptos" w:hAnsi="Aptos"/>
        </w:rPr>
        <w:t>defining the concept of ‘high risk’</w:t>
      </w:r>
      <w:commentRangeEnd w:id="8"/>
      <w:r w:rsidR="00E75F5F">
        <w:rPr>
          <w:rStyle w:val="CommentReference"/>
        </w:rPr>
        <w:commentReference w:id="8"/>
      </w:r>
      <w:r w:rsidR="00E8588D">
        <w:rPr>
          <w:rFonts w:ascii="Aptos" w:hAnsi="Aptos"/>
        </w:rPr>
        <w:t xml:space="preserve">, taking practical difficulties into account. </w:t>
      </w:r>
    </w:p>
    <w:p w14:paraId="2287421B" w14:textId="087BD637" w:rsidR="00866D5A" w:rsidRPr="00080AA3" w:rsidRDefault="00080AA3" w:rsidP="00742BC3">
      <w:pPr>
        <w:jc w:val="both"/>
        <w:rPr>
          <w:rFonts w:ascii="Aptos" w:hAnsi="Aptos"/>
          <w:b/>
          <w:bCs/>
          <w:color w:val="00B0F0"/>
          <w:sz w:val="28"/>
          <w:szCs w:val="28"/>
        </w:rPr>
      </w:pPr>
      <w:r w:rsidRPr="00080AA3">
        <w:rPr>
          <w:rFonts w:ascii="Aptos" w:hAnsi="Aptos"/>
          <w:b/>
          <w:bCs/>
          <w:color w:val="00B0F0"/>
          <w:sz w:val="28"/>
          <w:szCs w:val="28"/>
        </w:rPr>
        <w:t>Readjusting the balance</w:t>
      </w:r>
      <w:r>
        <w:rPr>
          <w:rFonts w:ascii="Aptos" w:hAnsi="Aptos"/>
          <w:b/>
          <w:bCs/>
          <w:color w:val="00B0F0"/>
          <w:sz w:val="28"/>
          <w:szCs w:val="28"/>
        </w:rPr>
        <w:t xml:space="preserve"> to</w:t>
      </w:r>
      <w:r w:rsidRPr="00080AA3">
        <w:rPr>
          <w:rFonts w:ascii="Aptos" w:hAnsi="Aptos"/>
          <w:b/>
          <w:bCs/>
          <w:color w:val="00B0F0"/>
          <w:sz w:val="28"/>
          <w:szCs w:val="28"/>
        </w:rPr>
        <w:t xml:space="preserve"> protect businesses from abusive </w:t>
      </w:r>
      <w:r>
        <w:rPr>
          <w:rFonts w:ascii="Aptos" w:hAnsi="Aptos"/>
          <w:b/>
          <w:bCs/>
          <w:color w:val="00B0F0"/>
          <w:sz w:val="28"/>
          <w:szCs w:val="28"/>
        </w:rPr>
        <w:t>GDPR</w:t>
      </w:r>
      <w:r w:rsidRPr="00080AA3">
        <w:rPr>
          <w:rFonts w:ascii="Aptos" w:hAnsi="Aptos"/>
          <w:b/>
          <w:bCs/>
          <w:color w:val="00B0F0"/>
          <w:sz w:val="28"/>
          <w:szCs w:val="28"/>
        </w:rPr>
        <w:t xml:space="preserve"> exploitation while safeguarding legitimate compensation rights</w:t>
      </w:r>
    </w:p>
    <w:p w14:paraId="7EB5294F" w14:textId="73A384AF" w:rsidR="00080AA3" w:rsidRPr="00080AA3" w:rsidRDefault="00080AA3" w:rsidP="00080AA3">
      <w:pPr>
        <w:pStyle w:val="ListParagraph"/>
        <w:numPr>
          <w:ilvl w:val="0"/>
          <w:numId w:val="15"/>
        </w:numPr>
        <w:jc w:val="both"/>
        <w:rPr>
          <w:rFonts w:ascii="Aptos" w:hAnsi="Aptos"/>
          <w:b/>
          <w:bCs/>
          <w:color w:val="002060"/>
        </w:rPr>
      </w:pPr>
      <w:r w:rsidRPr="00080AA3">
        <w:rPr>
          <w:rFonts w:ascii="Aptos" w:hAnsi="Aptos"/>
          <w:b/>
          <w:bCs/>
          <w:color w:val="002060"/>
        </w:rPr>
        <w:t>Targeted amendments under Art. 12(5) GDPR</w:t>
      </w:r>
      <w:r w:rsidR="008A1270">
        <w:rPr>
          <w:rFonts w:ascii="Aptos" w:hAnsi="Aptos"/>
          <w:b/>
          <w:bCs/>
          <w:color w:val="002060"/>
        </w:rPr>
        <w:t xml:space="preserve">: </w:t>
      </w:r>
      <w:r w:rsidR="005D0D95">
        <w:rPr>
          <w:rFonts w:ascii="Aptos" w:hAnsi="Aptos"/>
          <w:b/>
          <w:bCs/>
          <w:color w:val="002060"/>
        </w:rPr>
        <w:t xml:space="preserve">abusive data subject requests </w:t>
      </w:r>
    </w:p>
    <w:p w14:paraId="1F23F138" w14:textId="004F7B4C" w:rsidR="005A2113" w:rsidRDefault="00305C66" w:rsidP="00742BC3">
      <w:pPr>
        <w:jc w:val="both"/>
        <w:rPr>
          <w:rFonts w:ascii="Aptos" w:hAnsi="Aptos"/>
        </w:rPr>
      </w:pPr>
      <w:r w:rsidRPr="00FC1E1F">
        <w:rPr>
          <w:rFonts w:ascii="Aptos" w:hAnsi="Aptos"/>
          <w:b/>
          <w:bCs/>
        </w:rPr>
        <w:t xml:space="preserve">The original purpose of Art. 12(5) GDPR was to ensure that data subjects who suffer harm are appropriately compensated, a principle </w:t>
      </w:r>
      <w:r w:rsidR="000538D7">
        <w:rPr>
          <w:rFonts w:ascii="Aptos" w:hAnsi="Aptos"/>
          <w:b/>
          <w:bCs/>
        </w:rPr>
        <w:t>FEDMA</w:t>
      </w:r>
      <w:r w:rsidRPr="00FC1E1F">
        <w:rPr>
          <w:rFonts w:ascii="Aptos" w:hAnsi="Aptos"/>
          <w:b/>
          <w:bCs/>
        </w:rPr>
        <w:t xml:space="preserve"> fully support</w:t>
      </w:r>
      <w:r w:rsidR="000538D7">
        <w:rPr>
          <w:rFonts w:ascii="Aptos" w:hAnsi="Aptos"/>
          <w:b/>
          <w:bCs/>
        </w:rPr>
        <w:t>s</w:t>
      </w:r>
      <w:r w:rsidRPr="00FC1E1F">
        <w:rPr>
          <w:rFonts w:ascii="Aptos" w:hAnsi="Aptos"/>
          <w:b/>
          <w:bCs/>
        </w:rPr>
        <w:t xml:space="preserve">. </w:t>
      </w:r>
      <w:r w:rsidRPr="00305C66">
        <w:rPr>
          <w:rFonts w:ascii="Aptos" w:hAnsi="Aptos"/>
        </w:rPr>
        <w:t xml:space="preserve">While we recognise and share this intention, </w:t>
      </w:r>
      <w:r w:rsidR="000B2D5E">
        <w:rPr>
          <w:rFonts w:ascii="Aptos" w:hAnsi="Aptos"/>
        </w:rPr>
        <w:t>practices developed over the years and experience</w:t>
      </w:r>
      <w:r w:rsidRPr="00305C66">
        <w:rPr>
          <w:rFonts w:ascii="Aptos" w:hAnsi="Aptos"/>
        </w:rPr>
        <w:t xml:space="preserve"> has shown that the </w:t>
      </w:r>
      <w:r w:rsidRPr="000B2D5E">
        <w:rPr>
          <w:rFonts w:ascii="Aptos" w:hAnsi="Aptos"/>
          <w:b/>
          <w:bCs/>
        </w:rPr>
        <w:t xml:space="preserve">practical application of this provision has, at times, </w:t>
      </w:r>
      <w:r w:rsidR="000B2D5E" w:rsidRPr="000B2D5E">
        <w:rPr>
          <w:rFonts w:ascii="Aptos" w:hAnsi="Aptos"/>
          <w:b/>
          <w:bCs/>
        </w:rPr>
        <w:t xml:space="preserve">come to </w:t>
      </w:r>
      <w:r w:rsidRPr="000B2D5E">
        <w:rPr>
          <w:rFonts w:ascii="Aptos" w:hAnsi="Aptos"/>
          <w:b/>
          <w:bCs/>
        </w:rPr>
        <w:t>diverge from its initial objective.</w:t>
      </w:r>
      <w:r w:rsidRPr="00305C66">
        <w:rPr>
          <w:rFonts w:ascii="Aptos" w:hAnsi="Aptos"/>
        </w:rPr>
        <w:t xml:space="preserve"> The proposed amendment</w:t>
      </w:r>
      <w:r w:rsidR="00FC1E1F">
        <w:rPr>
          <w:rFonts w:ascii="Aptos" w:hAnsi="Aptos"/>
        </w:rPr>
        <w:t xml:space="preserve"> (</w:t>
      </w:r>
      <w:r w:rsidRPr="00305C66">
        <w:rPr>
          <w:rFonts w:ascii="Aptos" w:hAnsi="Aptos"/>
        </w:rPr>
        <w:t xml:space="preserve">and the </w:t>
      </w:r>
      <w:r w:rsidR="00D07A2C" w:rsidRPr="00305C66">
        <w:rPr>
          <w:rFonts w:ascii="Aptos" w:hAnsi="Aptos"/>
        </w:rPr>
        <w:t>obvious</w:t>
      </w:r>
      <w:r w:rsidRPr="00305C66">
        <w:rPr>
          <w:rFonts w:ascii="Aptos" w:hAnsi="Aptos"/>
        </w:rPr>
        <w:t xml:space="preserve"> effort by the European </w:t>
      </w:r>
      <w:r w:rsidR="00FC1E1F">
        <w:rPr>
          <w:rFonts w:ascii="Aptos" w:hAnsi="Aptos"/>
        </w:rPr>
        <w:t>Commission</w:t>
      </w:r>
      <w:r w:rsidRPr="00305C66">
        <w:rPr>
          <w:rFonts w:ascii="Aptos" w:hAnsi="Aptos"/>
        </w:rPr>
        <w:t xml:space="preserve"> to </w:t>
      </w:r>
      <w:r w:rsidRPr="00BB2A85">
        <w:rPr>
          <w:rFonts w:ascii="Aptos" w:hAnsi="Aptos"/>
        </w:rPr>
        <w:t xml:space="preserve">address abusive </w:t>
      </w:r>
      <w:r w:rsidR="00FC1E1F" w:rsidRPr="00BB2A85">
        <w:rPr>
          <w:rFonts w:ascii="Aptos" w:hAnsi="Aptos"/>
        </w:rPr>
        <w:t xml:space="preserve">claims) </w:t>
      </w:r>
      <w:r w:rsidRPr="00BB2A85">
        <w:rPr>
          <w:rFonts w:ascii="Aptos" w:hAnsi="Aptos"/>
        </w:rPr>
        <w:t>is</w:t>
      </w:r>
      <w:r w:rsidRPr="00305C66">
        <w:rPr>
          <w:rFonts w:ascii="Aptos" w:hAnsi="Aptos"/>
        </w:rPr>
        <w:t xml:space="preserve"> therefore a positive and timely development. </w:t>
      </w:r>
    </w:p>
    <w:p w14:paraId="5FB4B4B3" w14:textId="51B18274" w:rsidR="00080AA3" w:rsidRDefault="00305C66" w:rsidP="00742BC3">
      <w:pPr>
        <w:jc w:val="both"/>
        <w:rPr>
          <w:rFonts w:ascii="Aptos" w:hAnsi="Aptos"/>
          <w:b/>
          <w:bCs/>
        </w:rPr>
      </w:pPr>
      <w:r w:rsidRPr="002E07B9">
        <w:rPr>
          <w:rFonts w:ascii="Aptos" w:hAnsi="Aptos"/>
          <w:b/>
          <w:bCs/>
        </w:rPr>
        <w:t>At the same time, we remain concerned that the current wording may not fully safeguard well</w:t>
      </w:r>
      <w:r w:rsidRPr="002E07B9">
        <w:rPr>
          <w:rFonts w:ascii="Cambria Math" w:hAnsi="Cambria Math" w:cs="Cambria Math"/>
          <w:b/>
          <w:bCs/>
        </w:rPr>
        <w:t>‑</w:t>
      </w:r>
      <w:r w:rsidRPr="002E07B9">
        <w:rPr>
          <w:rFonts w:ascii="Aptos" w:hAnsi="Aptos"/>
          <w:b/>
          <w:bCs/>
        </w:rPr>
        <w:t xml:space="preserve">intentioned </w:t>
      </w:r>
      <w:r w:rsidR="000305F9" w:rsidRPr="002E07B9">
        <w:rPr>
          <w:rFonts w:ascii="Aptos" w:hAnsi="Aptos"/>
          <w:b/>
          <w:bCs/>
        </w:rPr>
        <w:t>companies</w:t>
      </w:r>
      <w:r w:rsidRPr="002E07B9">
        <w:rPr>
          <w:rFonts w:ascii="Aptos" w:hAnsi="Aptos"/>
          <w:b/>
          <w:bCs/>
        </w:rPr>
        <w:t xml:space="preserve"> that act responsibly and cause no harm</w:t>
      </w:r>
      <w:r w:rsidRPr="00305C66">
        <w:rPr>
          <w:rFonts w:ascii="Aptos" w:hAnsi="Aptos"/>
        </w:rPr>
        <w:t xml:space="preserve"> from individuals seeking to </w:t>
      </w:r>
      <w:r w:rsidRPr="00BB2A85">
        <w:rPr>
          <w:rFonts w:ascii="Aptos" w:hAnsi="Aptos"/>
        </w:rPr>
        <w:t xml:space="preserve">exploit </w:t>
      </w:r>
      <w:r w:rsidR="00B572A1" w:rsidRPr="00BB2A85">
        <w:rPr>
          <w:rFonts w:ascii="Aptos" w:hAnsi="Aptos"/>
        </w:rPr>
        <w:t>‘</w:t>
      </w:r>
      <w:r w:rsidR="00343A2F" w:rsidRPr="00BB2A85">
        <w:rPr>
          <w:rFonts w:ascii="Aptos" w:hAnsi="Aptos"/>
        </w:rPr>
        <w:t>a</w:t>
      </w:r>
      <w:r w:rsidRPr="00BB2A85">
        <w:rPr>
          <w:rFonts w:ascii="Aptos" w:hAnsi="Aptos"/>
        </w:rPr>
        <w:t xml:space="preserve"> </w:t>
      </w:r>
      <w:r w:rsidR="005A2113" w:rsidRPr="00BB2A85">
        <w:rPr>
          <w:rFonts w:ascii="Aptos" w:hAnsi="Aptos"/>
        </w:rPr>
        <w:t>well-</w:t>
      </w:r>
      <w:r w:rsidR="001B22BC" w:rsidRPr="00BB2A85">
        <w:rPr>
          <w:rFonts w:ascii="Aptos" w:hAnsi="Aptos"/>
        </w:rPr>
        <w:t>documented practice of ab</w:t>
      </w:r>
      <w:r w:rsidR="008741AF" w:rsidRPr="00BB2A85">
        <w:rPr>
          <w:rFonts w:ascii="Aptos" w:hAnsi="Aptos"/>
        </w:rPr>
        <w:t xml:space="preserve">usive </w:t>
      </w:r>
      <w:r w:rsidR="004A0E2F">
        <w:rPr>
          <w:rFonts w:ascii="Aptos" w:hAnsi="Aptos"/>
        </w:rPr>
        <w:t>claims</w:t>
      </w:r>
      <w:r w:rsidR="00B572A1" w:rsidRPr="00BB2A85">
        <w:rPr>
          <w:rFonts w:ascii="Aptos" w:hAnsi="Aptos"/>
        </w:rPr>
        <w:t>’</w:t>
      </w:r>
      <w:r w:rsidRPr="00BB2A85">
        <w:rPr>
          <w:rFonts w:ascii="Aptos" w:hAnsi="Aptos"/>
        </w:rPr>
        <w:t xml:space="preserve">. </w:t>
      </w:r>
      <w:r w:rsidR="00751A6C" w:rsidRPr="00BB2A85">
        <w:rPr>
          <w:rFonts w:ascii="Aptos" w:hAnsi="Aptos"/>
        </w:rPr>
        <w:t>Such</w:t>
      </w:r>
      <w:r w:rsidR="00751A6C" w:rsidRPr="00751A6C">
        <w:rPr>
          <w:rFonts w:ascii="Aptos" w:hAnsi="Aptos"/>
        </w:rPr>
        <w:t xml:space="preserve"> abusive </w:t>
      </w:r>
      <w:r w:rsidR="004A0E2F">
        <w:rPr>
          <w:rFonts w:ascii="Aptos" w:hAnsi="Aptos"/>
        </w:rPr>
        <w:t>claims</w:t>
      </w:r>
      <w:r w:rsidR="00751A6C" w:rsidRPr="00751A6C">
        <w:rPr>
          <w:rFonts w:ascii="Aptos" w:hAnsi="Aptos"/>
        </w:rPr>
        <w:t xml:space="preserve"> not only impose unnecessary burdens on organisations but also risk undermining the credibility and effectiveness of legitimate compensation </w:t>
      </w:r>
      <w:r w:rsidR="00F6501E">
        <w:rPr>
          <w:rFonts w:ascii="Aptos" w:hAnsi="Aptos"/>
        </w:rPr>
        <w:t>requests</w:t>
      </w:r>
      <w:r w:rsidR="00751A6C" w:rsidRPr="00751A6C">
        <w:rPr>
          <w:rFonts w:ascii="Aptos" w:hAnsi="Aptos"/>
        </w:rPr>
        <w:t xml:space="preserve">. </w:t>
      </w:r>
      <w:r w:rsidRPr="00CA6438">
        <w:rPr>
          <w:rFonts w:ascii="Aptos" w:hAnsi="Aptos"/>
          <w:b/>
          <w:bCs/>
        </w:rPr>
        <w:t xml:space="preserve">We believe that a </w:t>
      </w:r>
      <w:r w:rsidR="00C55613" w:rsidRPr="00CA6438">
        <w:rPr>
          <w:rFonts w:ascii="Aptos" w:hAnsi="Aptos"/>
          <w:b/>
          <w:bCs/>
        </w:rPr>
        <w:t xml:space="preserve">more </w:t>
      </w:r>
      <w:r w:rsidRPr="002F76B2">
        <w:rPr>
          <w:rFonts w:ascii="Aptos" w:hAnsi="Aptos"/>
          <w:b/>
          <w:bCs/>
          <w:i/>
          <w:iCs/>
        </w:rPr>
        <w:t>balanced</w:t>
      </w:r>
      <w:r w:rsidRPr="00CA6438">
        <w:rPr>
          <w:rFonts w:ascii="Aptos" w:hAnsi="Aptos"/>
          <w:b/>
          <w:bCs/>
        </w:rPr>
        <w:t xml:space="preserve"> approach is essential to protect both data subjects</w:t>
      </w:r>
      <w:r w:rsidRPr="00CA6438">
        <w:rPr>
          <w:rFonts w:ascii="Aptos" w:hAnsi="Aptos" w:cs="Aptos"/>
          <w:b/>
          <w:bCs/>
        </w:rPr>
        <w:t>’</w:t>
      </w:r>
      <w:r w:rsidRPr="00CA6438">
        <w:rPr>
          <w:rFonts w:ascii="Aptos" w:hAnsi="Aptos"/>
          <w:b/>
          <w:bCs/>
        </w:rPr>
        <w:t xml:space="preserve"> rights and the integrity</w:t>
      </w:r>
      <w:r w:rsidR="00751A6C" w:rsidRPr="00CA6438">
        <w:rPr>
          <w:rFonts w:ascii="Aptos" w:hAnsi="Aptos"/>
          <w:b/>
          <w:bCs/>
        </w:rPr>
        <w:t xml:space="preserve"> and fairness</w:t>
      </w:r>
      <w:r w:rsidRPr="00CA6438">
        <w:rPr>
          <w:rFonts w:ascii="Aptos" w:hAnsi="Aptos"/>
          <w:b/>
          <w:bCs/>
        </w:rPr>
        <w:t xml:space="preserve"> of the </w:t>
      </w:r>
      <w:r w:rsidR="00F81D9F">
        <w:rPr>
          <w:rFonts w:ascii="Aptos" w:hAnsi="Aptos"/>
          <w:b/>
          <w:bCs/>
        </w:rPr>
        <w:t xml:space="preserve">existing </w:t>
      </w:r>
      <w:r w:rsidRPr="00CA6438">
        <w:rPr>
          <w:rFonts w:ascii="Aptos" w:hAnsi="Aptos"/>
          <w:b/>
          <w:bCs/>
        </w:rPr>
        <w:t>framework.</w:t>
      </w:r>
      <w:r w:rsidR="0043149D">
        <w:rPr>
          <w:rFonts w:ascii="Aptos" w:hAnsi="Aptos"/>
          <w:b/>
          <w:bCs/>
        </w:rPr>
        <w:t xml:space="preserve"> We therefore </w:t>
      </w:r>
      <w:r w:rsidR="00212BD6">
        <w:rPr>
          <w:rFonts w:ascii="Aptos" w:hAnsi="Aptos"/>
          <w:b/>
          <w:bCs/>
        </w:rPr>
        <w:t>propose</w:t>
      </w:r>
      <w:r w:rsidR="0043149D">
        <w:rPr>
          <w:rFonts w:ascii="Aptos" w:hAnsi="Aptos"/>
          <w:b/>
          <w:bCs/>
        </w:rPr>
        <w:t xml:space="preserve"> the following: </w:t>
      </w:r>
    </w:p>
    <w:p w14:paraId="4D890C6F" w14:textId="5B8669EA" w:rsidR="00201997" w:rsidRDefault="0085410E" w:rsidP="00035C40">
      <w:pPr>
        <w:pStyle w:val="ListParagraph"/>
        <w:numPr>
          <w:ilvl w:val="0"/>
          <w:numId w:val="18"/>
        </w:numPr>
        <w:jc w:val="both"/>
        <w:rPr>
          <w:rFonts w:ascii="Aptos" w:hAnsi="Aptos"/>
        </w:rPr>
      </w:pPr>
      <w:r w:rsidRPr="0085410E">
        <w:rPr>
          <w:rFonts w:ascii="Aptos" w:hAnsi="Aptos"/>
        </w:rPr>
        <w:t>We welcome the amendment clarifying that this also applies to requests under Ar</w:t>
      </w:r>
      <w:r w:rsidR="008741AF">
        <w:rPr>
          <w:rFonts w:ascii="Aptos" w:hAnsi="Aptos"/>
        </w:rPr>
        <w:t>t.</w:t>
      </w:r>
      <w:r w:rsidRPr="0085410E">
        <w:rPr>
          <w:rFonts w:ascii="Aptos" w:hAnsi="Aptos"/>
        </w:rPr>
        <w:t xml:space="preserve"> 15 </w:t>
      </w:r>
      <w:r w:rsidR="008741AF">
        <w:rPr>
          <w:rFonts w:ascii="Aptos" w:hAnsi="Aptos"/>
        </w:rPr>
        <w:t xml:space="preserve">GDPR </w:t>
      </w:r>
      <w:r w:rsidRPr="0085410E">
        <w:rPr>
          <w:rFonts w:ascii="Aptos" w:hAnsi="Aptos"/>
        </w:rPr>
        <w:t xml:space="preserve">where a data subject abuses the rights conferred by the </w:t>
      </w:r>
      <w:r w:rsidR="007C5DE2">
        <w:rPr>
          <w:rFonts w:ascii="Aptos" w:hAnsi="Aptos"/>
        </w:rPr>
        <w:t>GDPR</w:t>
      </w:r>
      <w:r w:rsidRPr="0085410E">
        <w:rPr>
          <w:rFonts w:ascii="Aptos" w:hAnsi="Aptos"/>
        </w:rPr>
        <w:t xml:space="preserve"> for purposes other than the protection of their personal data.</w:t>
      </w:r>
      <w:r>
        <w:rPr>
          <w:rFonts w:ascii="Aptos" w:hAnsi="Aptos"/>
        </w:rPr>
        <w:t xml:space="preserve"> </w:t>
      </w:r>
      <w:r w:rsidR="00712C75" w:rsidRPr="00712C75">
        <w:rPr>
          <w:rFonts w:ascii="Aptos" w:hAnsi="Aptos"/>
        </w:rPr>
        <w:t>However, we remain concerned that the current wording may not sufficiently address the unfair impact this provision continues to have on well</w:t>
      </w:r>
      <w:r w:rsidR="00712C75" w:rsidRPr="00712C75">
        <w:rPr>
          <w:rFonts w:ascii="Cambria Math" w:hAnsi="Cambria Math" w:cs="Cambria Math"/>
        </w:rPr>
        <w:t>‑</w:t>
      </w:r>
      <w:r w:rsidR="00712C75" w:rsidRPr="00712C75">
        <w:rPr>
          <w:rFonts w:ascii="Aptos" w:hAnsi="Aptos"/>
        </w:rPr>
        <w:t>intended and responsible companies.</w:t>
      </w:r>
      <w:r w:rsidR="00712C75">
        <w:rPr>
          <w:rFonts w:ascii="Aptos" w:hAnsi="Aptos"/>
        </w:rPr>
        <w:t xml:space="preserve"> </w:t>
      </w:r>
      <w:r w:rsidR="00035C40">
        <w:rPr>
          <w:rFonts w:ascii="Aptos" w:hAnsi="Aptos"/>
        </w:rPr>
        <w:t xml:space="preserve"> </w:t>
      </w:r>
      <w:r w:rsidR="00A36A82" w:rsidRPr="0083550D">
        <w:rPr>
          <w:rFonts w:ascii="Aptos" w:hAnsi="Aptos"/>
          <w:b/>
          <w:bCs/>
        </w:rPr>
        <w:t>In line with existing caselaw,</w:t>
      </w:r>
      <w:r w:rsidR="008948F4" w:rsidRPr="0083550D">
        <w:rPr>
          <w:rStyle w:val="FootnoteReference"/>
          <w:rFonts w:ascii="Aptos" w:hAnsi="Aptos"/>
          <w:b/>
          <w:bCs/>
        </w:rPr>
        <w:footnoteReference w:id="14"/>
      </w:r>
      <w:r w:rsidR="00A36A82" w:rsidRPr="0083550D">
        <w:rPr>
          <w:rFonts w:ascii="Aptos" w:hAnsi="Aptos"/>
          <w:b/>
          <w:bCs/>
        </w:rPr>
        <w:t xml:space="preserve"> w</w:t>
      </w:r>
      <w:r w:rsidR="0001541C" w:rsidRPr="0083550D">
        <w:rPr>
          <w:rFonts w:ascii="Aptos" w:hAnsi="Aptos"/>
          <w:b/>
          <w:bCs/>
        </w:rPr>
        <w:t xml:space="preserve">e therefore propose to </w:t>
      </w:r>
      <w:r w:rsidR="002142CC" w:rsidRPr="0083550D">
        <w:rPr>
          <w:rFonts w:ascii="Aptos" w:hAnsi="Aptos"/>
          <w:b/>
          <w:bCs/>
        </w:rPr>
        <w:t xml:space="preserve">refine the description of the manifestly unfounded or </w:t>
      </w:r>
      <w:r w:rsidR="002142CC" w:rsidRPr="0083550D">
        <w:rPr>
          <w:rFonts w:ascii="Aptos" w:hAnsi="Aptos"/>
          <w:b/>
          <w:bCs/>
        </w:rPr>
        <w:lastRenderedPageBreak/>
        <w:t>excessive requests</w:t>
      </w:r>
      <w:r w:rsidR="007E1E9E" w:rsidRPr="0083550D">
        <w:rPr>
          <w:rFonts w:ascii="Aptos" w:hAnsi="Aptos"/>
          <w:b/>
          <w:bCs/>
        </w:rPr>
        <w:t xml:space="preserve"> by explicitly referring to the</w:t>
      </w:r>
      <w:r w:rsidR="00D4373B">
        <w:rPr>
          <w:rFonts w:ascii="Aptos" w:hAnsi="Aptos"/>
          <w:b/>
          <w:bCs/>
        </w:rPr>
        <w:t xml:space="preserve"> data subject’s</w:t>
      </w:r>
      <w:r w:rsidR="00495F3D" w:rsidRPr="0083550D">
        <w:rPr>
          <w:rFonts w:ascii="Aptos" w:hAnsi="Aptos"/>
          <w:b/>
          <w:bCs/>
        </w:rPr>
        <w:t xml:space="preserve"> </w:t>
      </w:r>
      <w:r w:rsidR="00B32C0B" w:rsidRPr="0083550D">
        <w:rPr>
          <w:rFonts w:ascii="Aptos" w:hAnsi="Aptos"/>
          <w:b/>
          <w:bCs/>
        </w:rPr>
        <w:t>“</w:t>
      </w:r>
      <w:commentRangeStart w:id="9"/>
      <w:r w:rsidR="00B32C0B" w:rsidRPr="0083550D">
        <w:rPr>
          <w:rFonts w:ascii="Aptos" w:hAnsi="Aptos"/>
          <w:b/>
          <w:bCs/>
        </w:rPr>
        <w:t>abusive</w:t>
      </w:r>
      <w:commentRangeEnd w:id="9"/>
      <w:r w:rsidR="00B563F7" w:rsidRPr="0083550D">
        <w:rPr>
          <w:rStyle w:val="CommentReference"/>
          <w:rFonts w:asciiTheme="minorHAnsi" w:eastAsiaTheme="minorHAnsi" w:hAnsiTheme="minorHAnsi" w:cstheme="minorBidi"/>
          <w:b/>
          <w:bCs/>
        </w:rPr>
        <w:commentReference w:id="9"/>
      </w:r>
      <w:r w:rsidR="007E1E9E" w:rsidRPr="0083550D">
        <w:rPr>
          <w:rFonts w:ascii="Aptos" w:hAnsi="Aptos"/>
          <w:b/>
          <w:bCs/>
        </w:rPr>
        <w:t xml:space="preserve"> </w:t>
      </w:r>
      <w:r w:rsidR="009E5D2E" w:rsidRPr="00FD0CE7">
        <w:rPr>
          <w:rFonts w:ascii="Aptos" w:hAnsi="Aptos"/>
          <w:b/>
          <w:bCs/>
          <w:i/>
          <w:iCs/>
        </w:rPr>
        <w:t>intention</w:t>
      </w:r>
      <w:r w:rsidR="00D4373B">
        <w:rPr>
          <w:rFonts w:ascii="Aptos" w:hAnsi="Aptos"/>
          <w:b/>
          <w:bCs/>
          <w:i/>
          <w:iCs/>
        </w:rPr>
        <w:t>”</w:t>
      </w:r>
      <w:r w:rsidR="00D236BF">
        <w:rPr>
          <w:rFonts w:ascii="Aptos" w:hAnsi="Aptos"/>
          <w:b/>
          <w:bCs/>
          <w:i/>
          <w:iCs/>
        </w:rPr>
        <w:t xml:space="preserve">, </w:t>
      </w:r>
      <w:r w:rsidR="00D236BF" w:rsidRPr="00ED696F">
        <w:rPr>
          <w:rFonts w:ascii="Aptos" w:hAnsi="Aptos"/>
          <w:b/>
          <w:bCs/>
        </w:rPr>
        <w:t>indicative of</w:t>
      </w:r>
      <w:r w:rsidR="00D236BF">
        <w:rPr>
          <w:rFonts w:ascii="Aptos" w:hAnsi="Aptos"/>
          <w:b/>
          <w:bCs/>
          <w:i/>
          <w:iCs/>
        </w:rPr>
        <w:t xml:space="preserve"> bad faith</w:t>
      </w:r>
      <w:r w:rsidR="005208D8">
        <w:rPr>
          <w:rFonts w:ascii="Aptos" w:hAnsi="Aptos"/>
          <w:b/>
          <w:bCs/>
        </w:rPr>
        <w:t>. This should be</w:t>
      </w:r>
      <w:r w:rsidR="000D3FC4" w:rsidRPr="000D3FC4">
        <w:t xml:space="preserve"> </w:t>
      </w:r>
      <w:r w:rsidR="000D3FC4" w:rsidRPr="000D3FC4">
        <w:rPr>
          <w:rFonts w:ascii="Aptos" w:hAnsi="Aptos"/>
          <w:b/>
          <w:bCs/>
        </w:rPr>
        <w:t xml:space="preserve">understood </w:t>
      </w:r>
      <w:r w:rsidR="005208D8" w:rsidRPr="005208D8">
        <w:rPr>
          <w:rFonts w:ascii="Aptos" w:hAnsi="Aptos"/>
          <w:b/>
          <w:bCs/>
        </w:rPr>
        <w:t>as a situation where there is a lack of genuine interest in the personal data or where the request is instrumentalised for purposes unrelated to data protection, such as exerting coercive leverage over the controller or pursuing an ulterior aim detrimental to the integrity of the GDPR framework</w:t>
      </w:r>
      <w:r w:rsidR="000D3FC4">
        <w:rPr>
          <w:rFonts w:ascii="Aptos" w:hAnsi="Aptos"/>
          <w:b/>
          <w:bCs/>
        </w:rPr>
        <w:t>,</w:t>
      </w:r>
      <w:r w:rsidR="00B32C0B">
        <w:rPr>
          <w:rFonts w:ascii="Aptos" w:hAnsi="Aptos"/>
        </w:rPr>
        <w:t xml:space="preserve"> </w:t>
      </w:r>
      <w:r w:rsidR="000D3FC4">
        <w:rPr>
          <w:rFonts w:ascii="Aptos" w:hAnsi="Aptos"/>
        </w:rPr>
        <w:t>alongside</w:t>
      </w:r>
      <w:r w:rsidR="00B32C0B">
        <w:rPr>
          <w:rFonts w:ascii="Aptos" w:hAnsi="Aptos"/>
        </w:rPr>
        <w:t xml:space="preserve"> the</w:t>
      </w:r>
      <w:r w:rsidR="008F2BB4">
        <w:rPr>
          <w:rFonts w:ascii="Aptos" w:hAnsi="Aptos"/>
        </w:rPr>
        <w:t xml:space="preserve"> </w:t>
      </w:r>
      <w:r w:rsidR="00B32C0B">
        <w:rPr>
          <w:rFonts w:ascii="Aptos" w:hAnsi="Aptos"/>
        </w:rPr>
        <w:t xml:space="preserve">“excessive character” already laid down </w:t>
      </w:r>
      <w:r w:rsidR="00D86F57" w:rsidRPr="00D86F57">
        <w:rPr>
          <w:rFonts w:ascii="Aptos" w:hAnsi="Aptos"/>
        </w:rPr>
        <w:t>in Art. 12(5) GDPR</w:t>
      </w:r>
      <w:r w:rsidR="00B32C0B">
        <w:rPr>
          <w:rFonts w:ascii="Aptos" w:hAnsi="Aptos"/>
        </w:rPr>
        <w:t>.</w:t>
      </w:r>
      <w:r w:rsidR="00013A95">
        <w:rPr>
          <w:rFonts w:ascii="Aptos" w:hAnsi="Aptos"/>
        </w:rPr>
        <w:t xml:space="preserve"> </w:t>
      </w:r>
      <w:r w:rsidR="00C912AA">
        <w:rPr>
          <w:rFonts w:ascii="Aptos" w:hAnsi="Aptos"/>
        </w:rPr>
        <w:t xml:space="preserve"> </w:t>
      </w:r>
    </w:p>
    <w:p w14:paraId="76240FF0" w14:textId="41EFBBCA" w:rsidR="0057259D" w:rsidRDefault="0057259D" w:rsidP="00035C40">
      <w:pPr>
        <w:pStyle w:val="ListParagraph"/>
        <w:numPr>
          <w:ilvl w:val="0"/>
          <w:numId w:val="18"/>
        </w:numPr>
        <w:jc w:val="both"/>
        <w:rPr>
          <w:rFonts w:ascii="Aptos" w:hAnsi="Aptos"/>
        </w:rPr>
      </w:pPr>
      <w:r>
        <w:rPr>
          <w:rFonts w:ascii="Aptos" w:hAnsi="Aptos"/>
        </w:rPr>
        <w:t xml:space="preserve">In addition to the explicit </w:t>
      </w:r>
      <w:r w:rsidR="00D142DC">
        <w:rPr>
          <w:rFonts w:ascii="Aptos" w:hAnsi="Aptos"/>
        </w:rPr>
        <w:t>mention in Art. 12(5) GDPR, we propose to add the following sentences to recital 59</w:t>
      </w:r>
      <w:r w:rsidR="00994BA9">
        <w:rPr>
          <w:rFonts w:ascii="Aptos" w:hAnsi="Aptos"/>
        </w:rPr>
        <w:t xml:space="preserve"> </w:t>
      </w:r>
      <w:r w:rsidR="00994BA9" w:rsidRPr="00F70197">
        <w:rPr>
          <w:rFonts w:ascii="Aptos" w:hAnsi="Aptos"/>
          <w:b/>
          <w:bCs/>
        </w:rPr>
        <w:t>to safeguard against</w:t>
      </w:r>
      <w:r w:rsidR="004A0E2F" w:rsidRPr="00F70197">
        <w:rPr>
          <w:rFonts w:ascii="Aptos" w:hAnsi="Aptos"/>
          <w:b/>
          <w:bCs/>
        </w:rPr>
        <w:t xml:space="preserve"> fragmented interpretation</w:t>
      </w:r>
      <w:r w:rsidR="00F70197" w:rsidRPr="00F70197">
        <w:rPr>
          <w:rFonts w:ascii="Aptos" w:hAnsi="Aptos"/>
          <w:b/>
          <w:bCs/>
        </w:rPr>
        <w:t>s</w:t>
      </w:r>
      <w:r w:rsidR="004A0E2F" w:rsidRPr="00F70197">
        <w:rPr>
          <w:rFonts w:ascii="Aptos" w:hAnsi="Aptos"/>
          <w:b/>
          <w:bCs/>
        </w:rPr>
        <w:t xml:space="preserve"> in Member States and </w:t>
      </w:r>
      <w:r w:rsidR="00905B9E" w:rsidRPr="00F70197">
        <w:rPr>
          <w:rFonts w:ascii="Aptos" w:hAnsi="Aptos"/>
          <w:b/>
          <w:bCs/>
        </w:rPr>
        <w:t>overly</w:t>
      </w:r>
      <w:r w:rsidR="00994BA9" w:rsidRPr="00F70197">
        <w:rPr>
          <w:rFonts w:ascii="Aptos" w:hAnsi="Aptos"/>
          <w:b/>
          <w:bCs/>
        </w:rPr>
        <w:t xml:space="preserve"> broad interpretations</w:t>
      </w:r>
      <w:r w:rsidR="00905B9E" w:rsidRPr="00F70197">
        <w:rPr>
          <w:rFonts w:ascii="Aptos" w:hAnsi="Aptos"/>
          <w:b/>
          <w:bCs/>
        </w:rPr>
        <w:t xml:space="preserve"> which could undermine legitimate compensation claims</w:t>
      </w:r>
      <w:r w:rsidR="00D142DC" w:rsidRPr="00F70197">
        <w:rPr>
          <w:rFonts w:ascii="Aptos" w:hAnsi="Aptos"/>
          <w:b/>
          <w:bCs/>
        </w:rPr>
        <w:t>:</w:t>
      </w:r>
      <w:r w:rsidR="00D142DC">
        <w:rPr>
          <w:rFonts w:ascii="Aptos" w:hAnsi="Aptos"/>
        </w:rPr>
        <w:t xml:space="preserve"> w</w:t>
      </w:r>
      <w:r w:rsidR="00D142DC" w:rsidRPr="00D142DC">
        <w:rPr>
          <w:rFonts w:ascii="Aptos" w:hAnsi="Aptos"/>
        </w:rPr>
        <w:t xml:space="preserve">ithin the context of manifestly unfounded or excessive requests, </w:t>
      </w:r>
      <w:r w:rsidR="00D97E31" w:rsidRPr="00D97E31">
        <w:rPr>
          <w:rFonts w:ascii="Aptos" w:hAnsi="Aptos"/>
        </w:rPr>
        <w:t xml:space="preserve">which implies acting in bad faith, </w:t>
      </w:r>
      <w:r w:rsidR="00D142DC" w:rsidRPr="00D142DC">
        <w:rPr>
          <w:rFonts w:ascii="Aptos" w:hAnsi="Aptos"/>
        </w:rPr>
        <w:t xml:space="preserve">an abusive intention refers to a situation in which a data subject exercises a right under this Regulation </w:t>
      </w:r>
      <w:r w:rsidR="009729F9" w:rsidRPr="009729F9">
        <w:rPr>
          <w:rFonts w:ascii="Aptos" w:hAnsi="Aptos"/>
        </w:rPr>
        <w:t xml:space="preserve">in a manner that exceeds the limits of normal exercise of that right </w:t>
      </w:r>
      <w:r w:rsidR="00D142DC" w:rsidRPr="00D142DC">
        <w:rPr>
          <w:rFonts w:ascii="Aptos" w:hAnsi="Aptos"/>
        </w:rPr>
        <w:t>for a purpose unrelated to the protection of their personal data</w:t>
      </w:r>
      <w:r w:rsidR="00592FBC" w:rsidRPr="00592FBC">
        <w:rPr>
          <w:rFonts w:ascii="Aptos" w:hAnsi="Aptos"/>
        </w:rPr>
        <w:t xml:space="preserve">, or to artificially or explicitly cause disruption. This includes scenarios where the request is used as a tool for coercion, to obtain a settlement unrelated to actual data protection harms, or where the request is part of a coordinated </w:t>
      </w:r>
      <w:r w:rsidR="00753E27">
        <w:rPr>
          <w:rFonts w:ascii="Aptos" w:hAnsi="Aptos"/>
        </w:rPr>
        <w:t xml:space="preserve">commercial </w:t>
      </w:r>
      <w:r w:rsidR="00592FBC" w:rsidRPr="00592FBC">
        <w:rPr>
          <w:rFonts w:ascii="Aptos" w:hAnsi="Aptos"/>
        </w:rPr>
        <w:t>campaign designed to burden the controller rather than to genuinely exercise data protection rights.</w:t>
      </w:r>
      <w:r w:rsidR="00592FBC">
        <w:rPr>
          <w:rFonts w:ascii="Aptos" w:hAnsi="Aptos"/>
        </w:rPr>
        <w:t xml:space="preserve"> </w:t>
      </w:r>
      <w:r w:rsidR="00D142DC" w:rsidRPr="00D142DC">
        <w:rPr>
          <w:rFonts w:ascii="Aptos" w:hAnsi="Aptos"/>
        </w:rPr>
        <w:t xml:space="preserve">Notwithstanding the aforementioned, where the exercise of a right supports a </w:t>
      </w:r>
      <w:r w:rsidR="006F425A" w:rsidRPr="006F425A">
        <w:rPr>
          <w:rFonts w:ascii="Aptos" w:hAnsi="Aptos"/>
        </w:rPr>
        <w:t xml:space="preserve">legitimate </w:t>
      </w:r>
      <w:r w:rsidR="00D142DC" w:rsidRPr="00D142DC">
        <w:rPr>
          <w:rFonts w:ascii="Aptos" w:hAnsi="Aptos"/>
        </w:rPr>
        <w:t xml:space="preserve">compensation claim provided for in this Regulation, it should </w:t>
      </w:r>
      <w:r w:rsidR="00D142DC" w:rsidRPr="00E56DB5">
        <w:rPr>
          <w:rFonts w:ascii="Aptos" w:hAnsi="Aptos"/>
          <w:b/>
          <w:bCs/>
          <w:u w:val="single"/>
        </w:rPr>
        <w:t>not</w:t>
      </w:r>
      <w:r w:rsidR="00D142DC" w:rsidRPr="00D142DC">
        <w:rPr>
          <w:rFonts w:ascii="Aptos" w:hAnsi="Aptos"/>
        </w:rPr>
        <w:t xml:space="preserve"> be regarded as an abusive intention</w:t>
      </w:r>
      <w:r w:rsidR="00D142DC">
        <w:rPr>
          <w:rFonts w:ascii="Aptos" w:hAnsi="Aptos"/>
        </w:rPr>
        <w:t xml:space="preserve">. </w:t>
      </w:r>
    </w:p>
    <w:p w14:paraId="0DD224AE" w14:textId="51D5D764" w:rsidR="0058047F" w:rsidRPr="007D6D73" w:rsidRDefault="0058047F" w:rsidP="00035C40">
      <w:pPr>
        <w:pStyle w:val="ListParagraph"/>
        <w:numPr>
          <w:ilvl w:val="0"/>
          <w:numId w:val="18"/>
        </w:numPr>
        <w:jc w:val="both"/>
        <w:rPr>
          <w:rFonts w:ascii="Aptos" w:hAnsi="Aptos"/>
        </w:rPr>
      </w:pPr>
      <w:r w:rsidRPr="007D6D73">
        <w:rPr>
          <w:rFonts w:ascii="Aptos" w:hAnsi="Aptos"/>
        </w:rPr>
        <w:t>FEDMA also welcomes the lower threshold for the controller who must demonstrate that there are reasonable grounds to believe that a request is excessive.</w:t>
      </w:r>
    </w:p>
    <w:p w14:paraId="2E5F7740" w14:textId="76296090" w:rsidR="00120076" w:rsidRDefault="00751056" w:rsidP="0085410E">
      <w:pPr>
        <w:pStyle w:val="ListParagraph"/>
        <w:numPr>
          <w:ilvl w:val="0"/>
          <w:numId w:val="18"/>
        </w:numPr>
        <w:jc w:val="both"/>
        <w:rPr>
          <w:rFonts w:ascii="Aptos" w:hAnsi="Aptos"/>
        </w:rPr>
      </w:pPr>
      <w:r w:rsidRPr="007C3C4A">
        <w:rPr>
          <w:rFonts w:ascii="Aptos" w:hAnsi="Aptos"/>
          <w:b/>
          <w:bCs/>
        </w:rPr>
        <w:t>EU law has consistently treated compensation as a non</w:t>
      </w:r>
      <w:r w:rsidRPr="007C3C4A">
        <w:rPr>
          <w:rFonts w:ascii="Cambria Math" w:hAnsi="Cambria Math" w:cs="Cambria Math"/>
          <w:b/>
          <w:bCs/>
        </w:rPr>
        <w:t>‑</w:t>
      </w:r>
      <w:r w:rsidRPr="007C3C4A">
        <w:rPr>
          <w:rFonts w:ascii="Aptos" w:hAnsi="Aptos"/>
          <w:b/>
          <w:bCs/>
        </w:rPr>
        <w:t>punitive mechanism, as confirmed by recent CJEU case law</w:t>
      </w:r>
      <w:r w:rsidR="00965139" w:rsidRPr="007C3C4A">
        <w:rPr>
          <w:rStyle w:val="FootnoteReference"/>
          <w:rFonts w:ascii="Aptos" w:hAnsi="Aptos"/>
          <w:b/>
          <w:bCs/>
        </w:rPr>
        <w:footnoteReference w:id="15"/>
      </w:r>
      <w:r w:rsidRPr="007C3C4A">
        <w:rPr>
          <w:rFonts w:ascii="Aptos" w:hAnsi="Aptos"/>
          <w:b/>
          <w:bCs/>
        </w:rPr>
        <w:t xml:space="preserve"> under Art. 82 GDPR, which requires data subjects to demonstrate actual </w:t>
      </w:r>
      <w:r w:rsidR="007C3C4A">
        <w:rPr>
          <w:rFonts w:ascii="Aptos" w:hAnsi="Aptos"/>
          <w:b/>
          <w:bCs/>
        </w:rPr>
        <w:t xml:space="preserve">and certain </w:t>
      </w:r>
      <w:r w:rsidRPr="007C3C4A">
        <w:rPr>
          <w:rFonts w:ascii="Aptos" w:hAnsi="Aptos"/>
          <w:b/>
          <w:bCs/>
        </w:rPr>
        <w:t>material or non</w:t>
      </w:r>
      <w:r w:rsidRPr="007C3C4A">
        <w:rPr>
          <w:rFonts w:ascii="Cambria Math" w:hAnsi="Cambria Math" w:cs="Cambria Math"/>
          <w:b/>
          <w:bCs/>
        </w:rPr>
        <w:t>‑</w:t>
      </w:r>
      <w:r w:rsidRPr="007C3C4A">
        <w:rPr>
          <w:rFonts w:ascii="Aptos" w:hAnsi="Aptos"/>
          <w:b/>
          <w:bCs/>
        </w:rPr>
        <w:t>material damage</w:t>
      </w:r>
      <w:r w:rsidR="00291EC7" w:rsidRPr="007C3C4A">
        <w:rPr>
          <w:rFonts w:ascii="Aptos" w:hAnsi="Aptos"/>
          <w:b/>
          <w:bCs/>
        </w:rPr>
        <w:t xml:space="preserve"> as a result of the GDPR infringement</w:t>
      </w:r>
      <w:r w:rsidRPr="007C3C4A">
        <w:rPr>
          <w:rFonts w:ascii="Aptos" w:hAnsi="Aptos"/>
          <w:b/>
          <w:bCs/>
        </w:rPr>
        <w:t xml:space="preserve">. </w:t>
      </w:r>
      <w:r w:rsidR="00821B71" w:rsidRPr="00C7384A">
        <w:rPr>
          <w:rFonts w:ascii="Aptos" w:hAnsi="Aptos"/>
        </w:rPr>
        <w:t xml:space="preserve">We </w:t>
      </w:r>
      <w:r>
        <w:rPr>
          <w:rFonts w:ascii="Aptos" w:hAnsi="Aptos"/>
        </w:rPr>
        <w:t xml:space="preserve">therefore </w:t>
      </w:r>
      <w:r w:rsidR="00FA6305">
        <w:rPr>
          <w:rFonts w:ascii="Aptos" w:hAnsi="Aptos"/>
        </w:rPr>
        <w:t>recommend</w:t>
      </w:r>
      <w:r w:rsidR="00821B71" w:rsidRPr="00C7384A">
        <w:rPr>
          <w:rFonts w:ascii="Aptos" w:hAnsi="Aptos"/>
        </w:rPr>
        <w:t xml:space="preserve"> </w:t>
      </w:r>
      <w:r>
        <w:rPr>
          <w:rFonts w:ascii="Aptos" w:hAnsi="Aptos"/>
        </w:rPr>
        <w:t xml:space="preserve">codifying the caselaw by </w:t>
      </w:r>
      <w:r w:rsidR="00821B71" w:rsidRPr="00C7384A">
        <w:rPr>
          <w:rFonts w:ascii="Aptos" w:hAnsi="Aptos"/>
        </w:rPr>
        <w:t>adding one sentence: ‘for the avoidance of doubt, a data subject shall be entitled to compensation only where they demonstrate that they have suffered</w:t>
      </w:r>
      <w:r w:rsidR="00CA3489" w:rsidRPr="00CA3489">
        <w:t xml:space="preserve"> </w:t>
      </w:r>
      <w:r w:rsidR="00CA3489" w:rsidRPr="00CA3489">
        <w:rPr>
          <w:rFonts w:ascii="Aptos" w:hAnsi="Aptos"/>
        </w:rPr>
        <w:t>actual and certain</w:t>
      </w:r>
      <w:r w:rsidR="00821B71" w:rsidRPr="00C7384A">
        <w:rPr>
          <w:rFonts w:ascii="Aptos" w:hAnsi="Aptos"/>
        </w:rPr>
        <w:t xml:space="preserve"> </w:t>
      </w:r>
      <w:commentRangeStart w:id="10"/>
      <w:r w:rsidR="00821B71" w:rsidRPr="00C7384A">
        <w:rPr>
          <w:rFonts w:ascii="Aptos" w:hAnsi="Aptos"/>
        </w:rPr>
        <w:t>material or non</w:t>
      </w:r>
      <w:r w:rsidR="00821B71" w:rsidRPr="00C7384A">
        <w:rPr>
          <w:rFonts w:ascii="Cambria Math" w:hAnsi="Cambria Math" w:cs="Cambria Math"/>
        </w:rPr>
        <w:t>‑</w:t>
      </w:r>
      <w:r w:rsidR="00821B71" w:rsidRPr="00C7384A">
        <w:rPr>
          <w:rFonts w:ascii="Aptos" w:hAnsi="Aptos"/>
        </w:rPr>
        <w:t xml:space="preserve">material damage </w:t>
      </w:r>
      <w:commentRangeEnd w:id="10"/>
      <w:r w:rsidR="00C7384A">
        <w:rPr>
          <w:rStyle w:val="CommentReference"/>
          <w:rFonts w:asciiTheme="minorHAnsi" w:eastAsiaTheme="minorHAnsi" w:hAnsiTheme="minorHAnsi" w:cstheme="minorBidi"/>
        </w:rPr>
        <w:commentReference w:id="10"/>
      </w:r>
      <w:r w:rsidR="00821B71" w:rsidRPr="00C7384A">
        <w:rPr>
          <w:rFonts w:ascii="Aptos" w:hAnsi="Aptos"/>
        </w:rPr>
        <w:t>as a result of the controller</w:t>
      </w:r>
      <w:r w:rsidR="00821B71" w:rsidRPr="00C7384A">
        <w:rPr>
          <w:rFonts w:ascii="Aptos" w:hAnsi="Aptos" w:cs="Aptos"/>
        </w:rPr>
        <w:t>’</w:t>
      </w:r>
      <w:r w:rsidR="00821B71" w:rsidRPr="00C7384A">
        <w:rPr>
          <w:rFonts w:ascii="Aptos" w:hAnsi="Aptos"/>
        </w:rPr>
        <w:t>s action or inaction</w:t>
      </w:r>
      <w:r w:rsidR="00C25340">
        <w:rPr>
          <w:rFonts w:ascii="Aptos" w:hAnsi="Aptos"/>
        </w:rPr>
        <w:t xml:space="preserve"> that</w:t>
      </w:r>
      <w:r w:rsidR="00056F74">
        <w:rPr>
          <w:rFonts w:ascii="Aptos" w:hAnsi="Aptos"/>
        </w:rPr>
        <w:t xml:space="preserve"> constitutes an</w:t>
      </w:r>
      <w:r w:rsidR="00C25340">
        <w:rPr>
          <w:rFonts w:ascii="Aptos" w:hAnsi="Aptos"/>
        </w:rPr>
        <w:t xml:space="preserve"> </w:t>
      </w:r>
      <w:r w:rsidR="00056F74">
        <w:rPr>
          <w:rFonts w:ascii="Aptos" w:hAnsi="Aptos"/>
        </w:rPr>
        <w:t>infringement of</w:t>
      </w:r>
      <w:r w:rsidR="00C25340">
        <w:rPr>
          <w:rFonts w:ascii="Aptos" w:hAnsi="Aptos"/>
        </w:rPr>
        <w:t xml:space="preserve"> the GDPR</w:t>
      </w:r>
      <w:r w:rsidR="00821B71" w:rsidRPr="00C7384A">
        <w:rPr>
          <w:rFonts w:ascii="Aptos" w:hAnsi="Aptos"/>
        </w:rPr>
        <w:t>’</w:t>
      </w:r>
      <w:r w:rsidR="00203469">
        <w:rPr>
          <w:rFonts w:ascii="Aptos" w:hAnsi="Aptos"/>
        </w:rPr>
        <w:t>.</w:t>
      </w:r>
      <w:r w:rsidR="00070E33">
        <w:rPr>
          <w:rFonts w:ascii="Aptos" w:hAnsi="Aptos"/>
        </w:rPr>
        <w:t xml:space="preserve"> </w:t>
      </w:r>
      <w:r w:rsidR="001100C1" w:rsidRPr="00070E33">
        <w:rPr>
          <w:rFonts w:ascii="Aptos" w:hAnsi="Aptos"/>
        </w:rPr>
        <w:t xml:space="preserve">Besides, </w:t>
      </w:r>
      <w:r w:rsidR="00B958BE" w:rsidRPr="00070E33">
        <w:rPr>
          <w:rFonts w:ascii="Aptos" w:hAnsi="Aptos"/>
        </w:rPr>
        <w:t>CJEU caselaw</w:t>
      </w:r>
      <w:r w:rsidR="00074306">
        <w:rPr>
          <w:rStyle w:val="FootnoteReference"/>
          <w:rFonts w:ascii="Aptos" w:hAnsi="Aptos"/>
        </w:rPr>
        <w:footnoteReference w:id="16"/>
      </w:r>
      <w:r w:rsidR="00B958BE" w:rsidRPr="00070E33">
        <w:rPr>
          <w:rFonts w:ascii="Aptos" w:hAnsi="Aptos"/>
        </w:rPr>
        <w:t xml:space="preserve"> also confirmed that administrative fin</w:t>
      </w:r>
      <w:r w:rsidR="001100C1" w:rsidRPr="00070E33">
        <w:rPr>
          <w:rFonts w:ascii="Aptos" w:hAnsi="Aptos"/>
        </w:rPr>
        <w:t>e</w:t>
      </w:r>
      <w:r w:rsidR="00B958BE" w:rsidRPr="00070E33">
        <w:rPr>
          <w:rFonts w:ascii="Aptos" w:hAnsi="Aptos"/>
        </w:rPr>
        <w:t xml:space="preserve">s are punitive instruments while distinguishing administrative fines from </w:t>
      </w:r>
      <w:r w:rsidR="00074306" w:rsidRPr="00070E33">
        <w:rPr>
          <w:rFonts w:ascii="Aptos" w:hAnsi="Aptos"/>
        </w:rPr>
        <w:t xml:space="preserve">compensation. </w:t>
      </w:r>
    </w:p>
    <w:p w14:paraId="3D7C3CE0" w14:textId="677A2226" w:rsidR="0085410E" w:rsidRDefault="009B35EA" w:rsidP="0085410E">
      <w:pPr>
        <w:pStyle w:val="ListParagraph"/>
        <w:numPr>
          <w:ilvl w:val="0"/>
          <w:numId w:val="18"/>
        </w:numPr>
        <w:jc w:val="both"/>
        <w:rPr>
          <w:rFonts w:ascii="Aptos" w:hAnsi="Aptos"/>
        </w:rPr>
      </w:pPr>
      <w:r w:rsidRPr="009B35EA">
        <w:rPr>
          <w:rFonts w:ascii="Aptos" w:hAnsi="Aptos"/>
        </w:rPr>
        <w:t xml:space="preserve">Similarly, collective redress mechanisms, while valuable for ensuring access to justice, </w:t>
      </w:r>
      <w:r w:rsidRPr="007C3C4A">
        <w:rPr>
          <w:rFonts w:ascii="Aptos" w:hAnsi="Aptos"/>
          <w:b/>
          <w:bCs/>
        </w:rPr>
        <w:t xml:space="preserve">may risk taking on a punitive character when aggregated claims amplify even modest individual </w:t>
      </w:r>
      <w:r w:rsidR="0055164D" w:rsidRPr="007C3C4A">
        <w:rPr>
          <w:rFonts w:ascii="Aptos" w:hAnsi="Aptos"/>
          <w:b/>
          <w:bCs/>
        </w:rPr>
        <w:t>damage</w:t>
      </w:r>
      <w:r w:rsidRPr="007C3C4A">
        <w:rPr>
          <w:rFonts w:ascii="Aptos" w:hAnsi="Aptos"/>
          <w:b/>
          <w:bCs/>
        </w:rPr>
        <w:t>,</w:t>
      </w:r>
      <w:r w:rsidRPr="009B35EA">
        <w:rPr>
          <w:rFonts w:ascii="Aptos" w:hAnsi="Aptos"/>
        </w:rPr>
        <w:t xml:space="preserve"> </w:t>
      </w:r>
      <w:r w:rsidRPr="009B35EA">
        <w:rPr>
          <w:rFonts w:ascii="Aptos" w:hAnsi="Aptos"/>
          <w:b/>
          <w:bCs/>
        </w:rPr>
        <w:t>making careful calibration important to preserve their compensatory purpose.</w:t>
      </w:r>
      <w:r w:rsidRPr="009B35EA">
        <w:rPr>
          <w:rFonts w:ascii="Aptos" w:hAnsi="Aptos"/>
        </w:rPr>
        <w:t xml:space="preserve"> </w:t>
      </w:r>
      <w:r w:rsidR="00120076" w:rsidRPr="00E76C1A">
        <w:rPr>
          <w:rFonts w:ascii="Aptos" w:hAnsi="Aptos"/>
        </w:rPr>
        <w:t>To support this balance, further calibration measures</w:t>
      </w:r>
      <w:r w:rsidR="001D23C0" w:rsidRPr="00E76C1A">
        <w:rPr>
          <w:rFonts w:ascii="Aptos" w:hAnsi="Aptos"/>
        </w:rPr>
        <w:t xml:space="preserve"> would be welcome</w:t>
      </w:r>
      <w:r w:rsidR="000C6D79" w:rsidRPr="00E76C1A">
        <w:rPr>
          <w:rFonts w:ascii="Aptos" w:hAnsi="Aptos"/>
        </w:rPr>
        <w:t>,</w:t>
      </w:r>
      <w:r w:rsidR="00120076" w:rsidRPr="00E76C1A">
        <w:rPr>
          <w:rFonts w:ascii="Aptos" w:hAnsi="Aptos"/>
        </w:rPr>
        <w:t xml:space="preserve"> for example, ensuring that collective redress actions remain grounded in an </w:t>
      </w:r>
      <w:r w:rsidR="00120076" w:rsidRPr="00E76C1A">
        <w:rPr>
          <w:rFonts w:ascii="Aptos" w:hAnsi="Aptos"/>
        </w:rPr>
        <w:lastRenderedPageBreak/>
        <w:t>individualised assessment of actual harm</w:t>
      </w:r>
      <w:r w:rsidR="00232CC6" w:rsidRPr="00E76C1A">
        <w:rPr>
          <w:rStyle w:val="FootnoteReference"/>
          <w:rFonts w:ascii="Aptos" w:hAnsi="Aptos"/>
        </w:rPr>
        <w:footnoteReference w:id="17"/>
      </w:r>
      <w:r w:rsidR="00120076" w:rsidRPr="00E76C1A">
        <w:rPr>
          <w:rFonts w:ascii="Aptos" w:hAnsi="Aptos"/>
        </w:rPr>
        <w:t xml:space="preserve"> so that aggregated claims do not inadvertently assume a punitive effect.</w:t>
      </w:r>
    </w:p>
    <w:p w14:paraId="1E8AFECC" w14:textId="0E80BBC0" w:rsidR="00F26B02" w:rsidRDefault="00420577" w:rsidP="003B6DE2">
      <w:pPr>
        <w:jc w:val="both"/>
        <w:rPr>
          <w:rFonts w:ascii="Aptos" w:hAnsi="Aptos"/>
          <w:b/>
          <w:bCs/>
          <w:color w:val="00B0F0"/>
          <w:sz w:val="28"/>
          <w:szCs w:val="28"/>
        </w:rPr>
      </w:pPr>
      <w:r w:rsidRPr="00597EE4">
        <w:rPr>
          <w:rFonts w:ascii="Aptos" w:hAnsi="Aptos"/>
          <w:b/>
          <w:bCs/>
          <w:color w:val="00B0F0"/>
          <w:sz w:val="28"/>
          <w:szCs w:val="28"/>
        </w:rPr>
        <w:t xml:space="preserve">Simplifying the </w:t>
      </w:r>
      <w:r w:rsidR="00DA4629" w:rsidRPr="00597EE4">
        <w:rPr>
          <w:rFonts w:ascii="Aptos" w:hAnsi="Aptos"/>
          <w:b/>
          <w:bCs/>
          <w:color w:val="00B0F0"/>
          <w:sz w:val="28"/>
          <w:szCs w:val="28"/>
        </w:rPr>
        <w:t xml:space="preserve">GDPR </w:t>
      </w:r>
      <w:r w:rsidR="007A72FF" w:rsidRPr="00597EE4">
        <w:rPr>
          <w:rFonts w:ascii="Aptos" w:hAnsi="Aptos"/>
          <w:b/>
          <w:bCs/>
          <w:color w:val="00B0F0"/>
          <w:sz w:val="28"/>
          <w:szCs w:val="28"/>
        </w:rPr>
        <w:t xml:space="preserve">ROPA obligations </w:t>
      </w:r>
      <w:r w:rsidR="00F26B02">
        <w:rPr>
          <w:rFonts w:ascii="Aptos" w:hAnsi="Aptos"/>
          <w:b/>
          <w:bCs/>
          <w:color w:val="00B0F0"/>
          <w:sz w:val="28"/>
          <w:szCs w:val="28"/>
        </w:rPr>
        <w:t>need to go hand</w:t>
      </w:r>
      <w:r w:rsidR="00F44007">
        <w:rPr>
          <w:rFonts w:ascii="Aptos" w:hAnsi="Aptos"/>
          <w:b/>
          <w:bCs/>
          <w:color w:val="00B0F0"/>
          <w:sz w:val="28"/>
          <w:szCs w:val="28"/>
        </w:rPr>
        <w:t>-</w:t>
      </w:r>
      <w:r w:rsidR="00F26B02">
        <w:rPr>
          <w:rFonts w:ascii="Aptos" w:hAnsi="Aptos"/>
          <w:b/>
          <w:bCs/>
          <w:color w:val="00B0F0"/>
          <w:sz w:val="28"/>
          <w:szCs w:val="28"/>
        </w:rPr>
        <w:t>in</w:t>
      </w:r>
      <w:r w:rsidR="00F44007">
        <w:rPr>
          <w:rFonts w:ascii="Aptos" w:hAnsi="Aptos"/>
          <w:b/>
          <w:bCs/>
          <w:color w:val="00B0F0"/>
          <w:sz w:val="28"/>
          <w:szCs w:val="28"/>
        </w:rPr>
        <w:t>-</w:t>
      </w:r>
      <w:r w:rsidR="00F26B02">
        <w:rPr>
          <w:rFonts w:ascii="Aptos" w:hAnsi="Aptos"/>
          <w:b/>
          <w:bCs/>
          <w:color w:val="00B0F0"/>
          <w:sz w:val="28"/>
          <w:szCs w:val="28"/>
        </w:rPr>
        <w:t>hand with strong accountability to guarantee sustai</w:t>
      </w:r>
      <w:r w:rsidR="00280842">
        <w:rPr>
          <w:rFonts w:ascii="Aptos" w:hAnsi="Aptos"/>
          <w:b/>
          <w:bCs/>
          <w:color w:val="00B0F0"/>
          <w:sz w:val="28"/>
          <w:szCs w:val="28"/>
        </w:rPr>
        <w:t xml:space="preserve">nable growth in </w:t>
      </w:r>
      <w:r w:rsidR="00704E75" w:rsidRPr="00704E75">
        <w:rPr>
          <w:rFonts w:ascii="Aptos" w:hAnsi="Aptos"/>
          <w:b/>
          <w:bCs/>
          <w:color w:val="00B0F0"/>
          <w:sz w:val="28"/>
          <w:szCs w:val="28"/>
        </w:rPr>
        <w:t xml:space="preserve">data-driven </w:t>
      </w:r>
      <w:r w:rsidR="00280842">
        <w:rPr>
          <w:rFonts w:ascii="Aptos" w:hAnsi="Aptos"/>
          <w:b/>
          <w:bCs/>
          <w:color w:val="00B0F0"/>
          <w:sz w:val="28"/>
          <w:szCs w:val="28"/>
        </w:rPr>
        <w:t>market</w:t>
      </w:r>
      <w:r w:rsidR="00DA4629">
        <w:rPr>
          <w:rFonts w:ascii="Aptos" w:hAnsi="Aptos"/>
          <w:b/>
          <w:bCs/>
          <w:color w:val="00B0F0"/>
          <w:sz w:val="28"/>
          <w:szCs w:val="28"/>
        </w:rPr>
        <w:t>ing</w:t>
      </w:r>
      <w:r w:rsidR="00280842">
        <w:rPr>
          <w:rFonts w:ascii="Aptos" w:hAnsi="Aptos"/>
          <w:b/>
          <w:bCs/>
          <w:color w:val="00B0F0"/>
          <w:sz w:val="28"/>
          <w:szCs w:val="28"/>
        </w:rPr>
        <w:t xml:space="preserve"> </w:t>
      </w:r>
    </w:p>
    <w:p w14:paraId="733397AB" w14:textId="3E0AF423" w:rsidR="001E7917" w:rsidRDefault="005940E8" w:rsidP="003B6DE2">
      <w:pPr>
        <w:jc w:val="both"/>
        <w:rPr>
          <w:rFonts w:ascii="Aptos" w:hAnsi="Aptos"/>
        </w:rPr>
      </w:pPr>
      <w:r>
        <w:rPr>
          <w:rFonts w:ascii="Aptos" w:hAnsi="Aptos"/>
        </w:rPr>
        <w:t xml:space="preserve">While FEDMA approves the intention of the European Commission to reduce the GDPR compliance burden for SMEs in Omnibus IV, </w:t>
      </w:r>
      <w:r w:rsidR="004B7411" w:rsidRPr="00543A37">
        <w:rPr>
          <w:rFonts w:ascii="Aptos" w:hAnsi="Aptos"/>
          <w:b/>
          <w:bCs/>
        </w:rPr>
        <w:t xml:space="preserve">FEDMA does not welcome the </w:t>
      </w:r>
      <w:r w:rsidR="00CC0E6E" w:rsidRPr="00543A37">
        <w:rPr>
          <w:rFonts w:ascii="Aptos" w:hAnsi="Aptos"/>
          <w:b/>
          <w:bCs/>
        </w:rPr>
        <w:t>threshold increase in Art. 30(</w:t>
      </w:r>
      <w:r w:rsidR="00EC0D08" w:rsidRPr="00543A37">
        <w:rPr>
          <w:rFonts w:ascii="Aptos" w:hAnsi="Aptos"/>
          <w:b/>
          <w:bCs/>
        </w:rPr>
        <w:t>5</w:t>
      </w:r>
      <w:r w:rsidR="00CC0E6E" w:rsidRPr="00543A37">
        <w:rPr>
          <w:rFonts w:ascii="Aptos" w:hAnsi="Aptos"/>
          <w:b/>
          <w:bCs/>
        </w:rPr>
        <w:t>)</w:t>
      </w:r>
      <w:r w:rsidR="00EC0D08" w:rsidRPr="00543A37">
        <w:rPr>
          <w:rFonts w:ascii="Aptos" w:hAnsi="Aptos"/>
          <w:b/>
          <w:bCs/>
        </w:rPr>
        <w:t xml:space="preserve"> GDPR</w:t>
      </w:r>
      <w:r w:rsidR="00AB6C9D" w:rsidRPr="00543A37">
        <w:rPr>
          <w:rFonts w:ascii="Aptos" w:hAnsi="Aptos"/>
          <w:b/>
          <w:bCs/>
        </w:rPr>
        <w:t xml:space="preserve">. </w:t>
      </w:r>
      <w:r w:rsidR="00AB6C9D">
        <w:rPr>
          <w:rFonts w:ascii="Aptos" w:hAnsi="Aptos"/>
        </w:rPr>
        <w:t>F</w:t>
      </w:r>
      <w:r w:rsidR="00447370">
        <w:rPr>
          <w:rFonts w:ascii="Aptos" w:hAnsi="Aptos"/>
        </w:rPr>
        <w:t xml:space="preserve">ewer companies will be obliged to </w:t>
      </w:r>
      <w:r w:rsidR="0009298A">
        <w:rPr>
          <w:rFonts w:ascii="Aptos" w:hAnsi="Aptos"/>
        </w:rPr>
        <w:t>fulfil the record of processing activities</w:t>
      </w:r>
      <w:r w:rsidR="00AB6C9D">
        <w:rPr>
          <w:rFonts w:ascii="Aptos" w:hAnsi="Aptos"/>
        </w:rPr>
        <w:t xml:space="preserve"> (ROPA)</w:t>
      </w:r>
      <w:r w:rsidR="0009298A">
        <w:rPr>
          <w:rFonts w:ascii="Aptos" w:hAnsi="Aptos"/>
        </w:rPr>
        <w:t xml:space="preserve">, thereby significantly increasing the legal risk for SMEs. </w:t>
      </w:r>
      <w:r w:rsidR="00B663C8">
        <w:rPr>
          <w:rFonts w:ascii="Aptos" w:hAnsi="Aptos"/>
        </w:rPr>
        <w:t>More concretely, compliance checks will be difficult or impossible without a record of processing activities</w:t>
      </w:r>
      <w:r w:rsidR="00E158AE">
        <w:rPr>
          <w:rFonts w:ascii="Aptos" w:hAnsi="Aptos"/>
        </w:rPr>
        <w:t>, which significantly undermines the accountability of businesses.</w:t>
      </w:r>
      <w:r w:rsidR="00CC0E6E">
        <w:rPr>
          <w:rFonts w:ascii="Aptos" w:hAnsi="Aptos"/>
        </w:rPr>
        <w:t xml:space="preserve"> </w:t>
      </w:r>
      <w:r w:rsidR="00543A37" w:rsidRPr="00543A37">
        <w:rPr>
          <w:rFonts w:ascii="Aptos" w:hAnsi="Aptos"/>
          <w:b/>
          <w:bCs/>
        </w:rPr>
        <w:t xml:space="preserve">We therefore propose to erase this amendment from Omnibus IV. </w:t>
      </w:r>
    </w:p>
    <w:p w14:paraId="198571E1" w14:textId="26D188AA" w:rsidR="00737DF7" w:rsidRPr="00305C66" w:rsidRDefault="00737DF7" w:rsidP="00737DF7">
      <w:pPr>
        <w:jc w:val="center"/>
        <w:rPr>
          <w:rFonts w:ascii="Aptos" w:hAnsi="Aptos"/>
        </w:rPr>
      </w:pPr>
      <w:r w:rsidRPr="00305C66">
        <w:rPr>
          <w:rFonts w:ascii="Aptos" w:hAnsi="Aptos"/>
        </w:rPr>
        <w:t>***</w:t>
      </w:r>
    </w:p>
    <w:p w14:paraId="3B50CD53" w14:textId="12D9824D" w:rsidR="00A61446" w:rsidRPr="00305C66" w:rsidRDefault="00A61446" w:rsidP="001006A1">
      <w:pPr>
        <w:rPr>
          <w:rFonts w:ascii="Aptos" w:hAnsi="Aptos"/>
        </w:rPr>
      </w:pPr>
    </w:p>
    <w:sectPr w:rsidR="00A61446" w:rsidRPr="00305C66" w:rsidSect="00E01C3F">
      <w:headerReference w:type="default" r:id="rId15"/>
      <w:footerReference w:type="default" r:id="rId16"/>
      <w:pgSz w:w="11906" w:h="16838"/>
      <w:pgMar w:top="1440" w:right="1440" w:bottom="1440" w:left="1440" w:header="709" w:footer="4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dewich Van Alst" w:date="2026-01-16T09:10:00Z" w:initials="HV">
    <w:p w14:paraId="6D15B6B4" w14:textId="77777777" w:rsidR="004F2941" w:rsidRDefault="00F2408C" w:rsidP="004F2941">
      <w:pPr>
        <w:pStyle w:val="CommentText"/>
      </w:pPr>
      <w:r>
        <w:rPr>
          <w:rStyle w:val="CommentReference"/>
        </w:rPr>
        <w:annotationRef/>
      </w:r>
      <w:r w:rsidR="004F2941">
        <w:rPr>
          <w:lang w:val="nl-NL"/>
        </w:rPr>
        <w:t xml:space="preserve">I am wondering whether this should be more diplomatic ? Connected to missing opportunity because it compels to action. </w:t>
      </w:r>
    </w:p>
  </w:comment>
  <w:comment w:id="1" w:author="Hadewich Van Alst" w:date="2026-01-15T10:35:00Z" w:initials="HV">
    <w:p w14:paraId="0E2F6C09" w14:textId="1D7934F3" w:rsidR="00AD2A6F" w:rsidRDefault="00AD2A6F" w:rsidP="00AD2A6F">
      <w:pPr>
        <w:pStyle w:val="CommentText"/>
      </w:pPr>
      <w:r>
        <w:rPr>
          <w:rStyle w:val="CommentReference"/>
        </w:rPr>
        <w:annotationRef/>
      </w:r>
      <w:r>
        <w:rPr>
          <w:lang w:val="nl-NL"/>
        </w:rPr>
        <w:t xml:space="preserve">This was mentioned in discussions with other federations, and since this is a main priority for the EC, and aligned with our position, I added it. </w:t>
      </w:r>
    </w:p>
  </w:comment>
  <w:comment w:id="2" w:author="Hadewich Van Als" w:date="2025-12-18T18:23:00Z" w:initials="HV">
    <w:p w14:paraId="06EC9B4F" w14:textId="25D70054" w:rsidR="00181E65" w:rsidRDefault="00110F81" w:rsidP="00181E65">
      <w:pPr>
        <w:pStyle w:val="CommentText"/>
      </w:pPr>
      <w:r>
        <w:rPr>
          <w:rStyle w:val="CommentReference"/>
        </w:rPr>
        <w:annotationRef/>
      </w:r>
      <w:r w:rsidR="00181E65">
        <w:t xml:space="preserve">An example of a legitimate process could be added if deemed more convincing ? I think this could improve the text. </w:t>
      </w:r>
    </w:p>
  </w:comment>
  <w:comment w:id="3" w:author="Hadewich Van Als" w:date="2025-12-18T18:16:00Z" w:initials="HV">
    <w:p w14:paraId="5C219934" w14:textId="77777777" w:rsidR="00876435" w:rsidRDefault="007C655D" w:rsidP="00876435">
      <w:pPr>
        <w:pStyle w:val="CommentText"/>
      </w:pPr>
      <w:r>
        <w:rPr>
          <w:rStyle w:val="CommentReference"/>
        </w:rPr>
        <w:annotationRef/>
      </w:r>
      <w:r w:rsidR="00876435">
        <w:t>This goes maybe a bit too far and could make the argument a bit less credible ? What do you think ?</w:t>
      </w:r>
    </w:p>
  </w:comment>
  <w:comment w:id="4" w:author="Hadewich Van Als" w:date="2025-12-18T18:24:00Z" w:initials="HV">
    <w:p w14:paraId="45090FB0" w14:textId="7D5A5E88" w:rsidR="00181E65" w:rsidRDefault="00110F81" w:rsidP="00181E65">
      <w:pPr>
        <w:pStyle w:val="CommentText"/>
      </w:pPr>
      <w:r>
        <w:rPr>
          <w:rStyle w:val="CommentReference"/>
        </w:rPr>
        <w:annotationRef/>
      </w:r>
      <w:r w:rsidR="00181E65">
        <w:t xml:space="preserve">Is this a bit too direct and explicit ?  </w:t>
      </w:r>
    </w:p>
  </w:comment>
  <w:comment w:id="5" w:author="Hadewich Van Als" w:date="1900-01-01T00:00:00Z" w:initials="HV">
    <w:p w14:paraId="478F4529" w14:textId="49484364" w:rsidR="00935707" w:rsidRDefault="00935707">
      <w:r>
        <w:annotationRef/>
      </w:r>
      <w:r w:rsidRPr="7FB36D80">
        <w:t xml:space="preserve">This is my suggestion, I am wondering whether subjective factors should also be added, because of the relative approach, pushing us to look through the lens of each party. What do you think ? </w:t>
      </w:r>
    </w:p>
  </w:comment>
  <w:comment w:id="6" w:author="Hadewich Van Als" w:date="2025-12-19T12:17:00Z" w:initials="HV">
    <w:p w14:paraId="17C9E607" w14:textId="77777777" w:rsidR="00B51560" w:rsidRDefault="002B4A17" w:rsidP="00B51560">
      <w:pPr>
        <w:pStyle w:val="CommentText"/>
      </w:pPr>
      <w:r>
        <w:rPr>
          <w:rStyle w:val="CommentReference"/>
        </w:rPr>
        <w:annotationRef/>
      </w:r>
      <w:r w:rsidR="00B51560">
        <w:t xml:space="preserve">I am not sure that an ‘opinion’ is the right instrument because the GDPR does not allocate the task to the EDPB in this context (ref. art. 70(1)(q-t, x) GDPR). Maybe that what we are asking for falls under Art. 70(1)(b-c) GDPR. Then the EDPB would ‘advice’ which normally is also publicly available. </w:t>
      </w:r>
      <w:r w:rsidR="00B51560">
        <w:br/>
        <w:t xml:space="preserve">I am guessing we want to avoid </w:t>
      </w:r>
      <w:r w:rsidR="00B51560">
        <w:rPr>
          <w:color w:val="000000"/>
          <w:highlight w:val="white"/>
        </w:rPr>
        <w:t>guidelines, recommendations and best practices</w:t>
      </w:r>
      <w:r w:rsidR="00B51560">
        <w:t xml:space="preserve"> so that we have binding rules for legal certainty. </w:t>
      </w:r>
      <w:r w:rsidR="00B51560">
        <w:br/>
        <w:t xml:space="preserve">We could also ask for a task to be added in Article 70, which would give the EDPB a new task. </w:t>
      </w:r>
    </w:p>
  </w:comment>
  <w:comment w:id="7" w:author="Hadewich Van Als" w:date="2025-12-19T18:55:00Z" w:initials="HV">
    <w:p w14:paraId="66E1C0A5" w14:textId="680AE2E0" w:rsidR="00935707" w:rsidRDefault="00935707" w:rsidP="00935707">
      <w:pPr>
        <w:pStyle w:val="CommentText"/>
      </w:pPr>
      <w:r>
        <w:rPr>
          <w:rStyle w:val="CommentReference"/>
        </w:rPr>
        <w:annotationRef/>
      </w:r>
      <w:r>
        <w:t xml:space="preserve">I am wondering whether this is sufficient to create an innovation-prone environment. It is clear what we should do, but not whether if it happens, the company responsible (which one?) would be liable under the GDPR. A recital could maybe be added ?  </w:t>
      </w:r>
    </w:p>
  </w:comment>
  <w:comment w:id="8" w:author="Hadewich Van Alst" w:date="2026-01-15T10:29:00Z" w:initials="HV">
    <w:p w14:paraId="0445F7B4" w14:textId="77777777" w:rsidR="00100B11" w:rsidRDefault="00E75F5F" w:rsidP="00100B11">
      <w:pPr>
        <w:pStyle w:val="CommentText"/>
      </w:pPr>
      <w:r>
        <w:rPr>
          <w:rStyle w:val="CommentReference"/>
        </w:rPr>
        <w:annotationRef/>
      </w:r>
      <w:r w:rsidR="00100B11">
        <w:rPr>
          <w:lang w:val="nl-NL"/>
        </w:rPr>
        <w:t xml:space="preserve">We could also ask for a presumption that some kind of personal data breaches are low risk, but I struggle to see how that would not fall back on technologies and we are often arguing that the GDPR needs to be tech neutral. And it could risk creating a ‘blurry area’ between high risk and low risk, which will create legal uncertainty. What do you think? </w:t>
      </w:r>
    </w:p>
  </w:comment>
  <w:comment w:id="9" w:author="Hadewich Van Alst" w:date="2026-01-13T16:33:00Z" w:initials="HV">
    <w:p w14:paraId="3FC614D7" w14:textId="454B4725" w:rsidR="00C86BC3" w:rsidRDefault="00B563F7" w:rsidP="00C86BC3">
      <w:pPr>
        <w:pStyle w:val="CommentText"/>
      </w:pPr>
      <w:r>
        <w:rPr>
          <w:rStyle w:val="CommentReference"/>
        </w:rPr>
        <w:annotationRef/>
      </w:r>
      <w:r w:rsidR="00C86BC3">
        <w:rPr>
          <w:lang w:val="nl-NL"/>
        </w:rPr>
        <w:t xml:space="preserve">Based on Marco Saisas’ research and feeback: </w:t>
      </w:r>
    </w:p>
    <w:p w14:paraId="2D1A6455" w14:textId="77777777" w:rsidR="00C86BC3" w:rsidRDefault="00C86BC3" w:rsidP="00C86BC3">
      <w:pPr>
        <w:pStyle w:val="CommentText"/>
      </w:pPr>
      <w:r>
        <w:rPr>
          <w:lang w:val="nl-NL"/>
        </w:rPr>
        <w:br/>
      </w:r>
      <w:r>
        <w:rPr>
          <w:b/>
          <w:bCs/>
          <w:color w:val="000000"/>
          <w:lang w:val="fr-BE"/>
        </w:rPr>
        <w:t>1. Core issue:</w:t>
      </w:r>
    </w:p>
    <w:p w14:paraId="6887DDC1" w14:textId="77777777" w:rsidR="00C86BC3" w:rsidRDefault="00C86BC3" w:rsidP="00C86BC3">
      <w:pPr>
        <w:pStyle w:val="CommentText"/>
      </w:pPr>
      <w:r>
        <w:rPr>
          <w:color w:val="000000"/>
          <w:lang w:val="fr-BE"/>
        </w:rPr>
        <w:t>1.1.  Introducing “malicious” as a legal criterion is high-risk in EU multilingual drafting; it is semantically unstable, can be read as an autonomous new ground, and creates translation ambiguity, especially in Portuguese and Spanish where “malicioso/malicioso” is strongly associated with “malware” rather than “bad-faith requests”.</w:t>
      </w:r>
    </w:p>
    <w:p w14:paraId="3F531CE4" w14:textId="77777777" w:rsidR="00C86BC3" w:rsidRDefault="00C86BC3" w:rsidP="00C86BC3">
      <w:pPr>
        <w:pStyle w:val="CommentText"/>
      </w:pPr>
    </w:p>
    <w:p w14:paraId="72882041" w14:textId="77777777" w:rsidR="00C86BC3" w:rsidRDefault="00C86BC3" w:rsidP="00C86BC3">
      <w:pPr>
        <w:pStyle w:val="CommentText"/>
      </w:pPr>
      <w:r>
        <w:rPr>
          <w:b/>
          <w:bCs/>
          <w:color w:val="000000"/>
          <w:lang w:val="fr-BE"/>
        </w:rPr>
        <w:t>2. Preferred legal anchor:</w:t>
      </w:r>
    </w:p>
    <w:p w14:paraId="6B4A5E1D" w14:textId="77777777" w:rsidR="00C86BC3" w:rsidRDefault="00C86BC3" w:rsidP="00C86BC3">
      <w:pPr>
        <w:pStyle w:val="CommentText"/>
      </w:pPr>
      <w:r>
        <w:rPr>
          <w:color w:val="000000"/>
          <w:lang w:val="fr-BE"/>
        </w:rPr>
        <w:t>2.1. EU-standard concepts that translate cleanly and align with the proposal’s structure, “</w:t>
      </w:r>
      <w:r>
        <w:rPr>
          <w:b/>
          <w:bCs/>
          <w:i/>
          <w:iCs/>
          <w:color w:val="000000"/>
          <w:lang w:val="fr-BE"/>
        </w:rPr>
        <w:t>abusive</w:t>
      </w:r>
      <w:r>
        <w:rPr>
          <w:color w:val="000000"/>
          <w:lang w:val="fr-BE"/>
        </w:rPr>
        <w:t>” or “</w:t>
      </w:r>
      <w:r>
        <w:rPr>
          <w:b/>
          <w:bCs/>
          <w:i/>
          <w:iCs/>
          <w:color w:val="000000"/>
          <w:lang w:val="fr-BE"/>
        </w:rPr>
        <w:t>in bad faith</w:t>
      </w:r>
      <w:r>
        <w:rPr>
          <w:color w:val="000000"/>
          <w:lang w:val="fr-BE"/>
        </w:rPr>
        <w:t>”, tied to “abuse of rights”, assessed narrowly and case-by-case, based on objective elements, with a clear evidentiary threshold.</w:t>
      </w:r>
    </w:p>
    <w:p w14:paraId="1F096C28" w14:textId="77777777" w:rsidR="00C86BC3" w:rsidRDefault="00C86BC3" w:rsidP="00C86BC3">
      <w:pPr>
        <w:pStyle w:val="CommentText"/>
      </w:pPr>
    </w:p>
    <w:p w14:paraId="47870A7B" w14:textId="77777777" w:rsidR="00C86BC3" w:rsidRDefault="00C86BC3" w:rsidP="00C86BC3">
      <w:pPr>
        <w:pStyle w:val="CommentText"/>
      </w:pPr>
      <w:r>
        <w:rPr>
          <w:b/>
          <w:bCs/>
          <w:color w:val="000000"/>
          <w:lang w:val="fr-BE"/>
        </w:rPr>
        <w:t>3. Supporting reasoning:</w:t>
      </w:r>
    </w:p>
    <w:p w14:paraId="22A9E342" w14:textId="77777777" w:rsidR="00C86BC3" w:rsidRDefault="00C86BC3" w:rsidP="00C86BC3">
      <w:pPr>
        <w:pStyle w:val="CommentText"/>
      </w:pPr>
      <w:r>
        <w:rPr>
          <w:color w:val="000000"/>
          <w:lang w:val="fr-BE"/>
        </w:rPr>
        <w:t>3.1. Recent CJEU case law (Case C‑416/23) on “</w:t>
      </w:r>
      <w:r>
        <w:rPr>
          <w:i/>
          <w:iCs/>
          <w:color w:val="000000"/>
          <w:lang w:val="fr-BE"/>
        </w:rPr>
        <w:t>manifestly unfounded or excessive</w:t>
      </w:r>
      <w:r>
        <w:rPr>
          <w:color w:val="000000"/>
          <w:lang w:val="fr-BE"/>
        </w:rPr>
        <w:t>” requests/complaints (notably under Article 57(4)) suggests that volume alone is insufficient, and the assessment must consider all circumstances, reinforcing a cautious, evidence-based approach to any “</w:t>
      </w:r>
      <w:r>
        <w:rPr>
          <w:b/>
          <w:bCs/>
          <w:color w:val="000000"/>
          <w:lang w:val="fr-BE"/>
        </w:rPr>
        <w:t>excessive/abusive</w:t>
      </w:r>
      <w:r>
        <w:rPr>
          <w:color w:val="000000"/>
          <w:lang w:val="fr-BE"/>
        </w:rPr>
        <w:t>” limitation.</w:t>
      </w:r>
    </w:p>
    <w:p w14:paraId="6A8014E5" w14:textId="77777777" w:rsidR="00C86BC3" w:rsidRDefault="00C86BC3" w:rsidP="00C86BC3">
      <w:pPr>
        <w:pStyle w:val="CommentText"/>
      </w:pPr>
      <w:r>
        <w:rPr>
          <w:color w:val="000000"/>
          <w:lang w:val="fr-BE"/>
        </w:rPr>
        <w:t xml:space="preserve">3.2. Also, Advocate General’s Opinion of 18 September 2025 in C-526/24, Brillen Rottler (while not yet a judgment) is particularly relevant because it addresses GDPR Article 12(5) directly; the Advocate General indicates that, to refuse or charge a fee on the basis that a request is “excessive”, the controller should demonstrate an </w:t>
      </w:r>
      <w:r>
        <w:rPr>
          <w:b/>
          <w:bCs/>
          <w:color w:val="000000"/>
          <w:lang w:val="fr-BE"/>
        </w:rPr>
        <w:t>abusive intention</w:t>
      </w:r>
      <w:r>
        <w:rPr>
          <w:color w:val="000000"/>
          <w:lang w:val="fr-BE"/>
        </w:rPr>
        <w:t> by the data subject, assessed case-by-case, and discusses scenarios where the right of access is instrumentalised to support damages litigation.</w:t>
      </w:r>
    </w:p>
    <w:p w14:paraId="4EAE7EB1" w14:textId="77777777" w:rsidR="00C86BC3" w:rsidRDefault="00C86BC3" w:rsidP="00C86BC3">
      <w:pPr>
        <w:pStyle w:val="CommentText"/>
      </w:pPr>
    </w:p>
    <w:p w14:paraId="173F1C8D" w14:textId="77777777" w:rsidR="00C86BC3" w:rsidRDefault="00C86BC3" w:rsidP="00C86BC3">
      <w:pPr>
        <w:pStyle w:val="CommentText"/>
      </w:pPr>
      <w:r>
        <w:rPr>
          <w:b/>
          <w:bCs/>
          <w:color w:val="000000"/>
          <w:lang w:val="fr-BE"/>
        </w:rPr>
        <w:t>4. Translation equivalents:</w:t>
      </w:r>
    </w:p>
    <w:p w14:paraId="6B37154D" w14:textId="77777777" w:rsidR="00C86BC3" w:rsidRDefault="00C86BC3" w:rsidP="00C86BC3">
      <w:pPr>
        <w:pStyle w:val="CommentText"/>
      </w:pPr>
      <w:r>
        <w:rPr>
          <w:color w:val="000000"/>
          <w:lang w:val="fr-BE"/>
        </w:rPr>
        <w:t>4.1. If the policy goal is to capture harassment/disruption and bad-faith behaviour, the closest functional equivalents are: English “</w:t>
      </w:r>
      <w:r>
        <w:rPr>
          <w:b/>
          <w:bCs/>
          <w:i/>
          <w:iCs/>
          <w:color w:val="000000"/>
          <w:lang w:val="fr-BE"/>
        </w:rPr>
        <w:t>abusive</w:t>
      </w:r>
      <w:r>
        <w:rPr>
          <w:color w:val="000000"/>
          <w:lang w:val="fr-BE"/>
        </w:rPr>
        <w:t>” or “</w:t>
      </w:r>
      <w:r>
        <w:rPr>
          <w:b/>
          <w:bCs/>
          <w:i/>
          <w:iCs/>
          <w:color w:val="000000"/>
          <w:lang w:val="fr-BE"/>
        </w:rPr>
        <w:t>in bad faith</w:t>
      </w:r>
      <w:r>
        <w:rPr>
          <w:color w:val="000000"/>
          <w:lang w:val="fr-BE"/>
        </w:rPr>
        <w:t>”.</w:t>
      </w:r>
    </w:p>
    <w:p w14:paraId="3B392123" w14:textId="77777777" w:rsidR="00C86BC3" w:rsidRDefault="00C86BC3" w:rsidP="00C86BC3">
      <w:pPr>
        <w:pStyle w:val="CommentText"/>
      </w:pPr>
      <w:r>
        <w:rPr>
          <w:color w:val="000000"/>
          <w:lang w:val="fr-BE"/>
        </w:rPr>
        <w:t>4.2. This can easily be translated to Portuguese “abusivo” or “de má-fé”, or to Spanish “abusivo” or “de mala fe”;</w:t>
      </w:r>
    </w:p>
    <w:p w14:paraId="19B9006D" w14:textId="77777777" w:rsidR="00C86BC3" w:rsidRDefault="00C86BC3" w:rsidP="00C86BC3">
      <w:pPr>
        <w:pStyle w:val="CommentText"/>
      </w:pPr>
    </w:p>
    <w:p w14:paraId="69521EBA" w14:textId="77777777" w:rsidR="00C86BC3" w:rsidRDefault="00C86BC3" w:rsidP="00C86BC3">
      <w:pPr>
        <w:pStyle w:val="CommentText"/>
      </w:pPr>
      <w:r>
        <w:rPr>
          <w:color w:val="000000"/>
          <w:lang w:val="fr-BE"/>
        </w:rPr>
        <w:t>5. Recommendation:</w:t>
      </w:r>
    </w:p>
    <w:p w14:paraId="3A1AA844" w14:textId="77777777" w:rsidR="00C86BC3" w:rsidRDefault="00C86BC3" w:rsidP="00C86BC3">
      <w:pPr>
        <w:pStyle w:val="CommentText"/>
      </w:pPr>
      <w:r>
        <w:rPr>
          <w:color w:val="000000"/>
          <w:lang w:val="fr-BE"/>
        </w:rPr>
        <w:t>5.1.  I advise against “malicious” in the legislative text, and propose “</w:t>
      </w:r>
      <w:r>
        <w:rPr>
          <w:b/>
          <w:bCs/>
          <w:color w:val="000000"/>
          <w:lang w:val="fr-BE"/>
        </w:rPr>
        <w:t>abusive</w:t>
      </w:r>
      <w:r>
        <w:rPr>
          <w:color w:val="000000"/>
          <w:lang w:val="fr-BE"/>
        </w:rPr>
        <w:t>” (optionally “</w:t>
      </w:r>
      <w:r>
        <w:rPr>
          <w:b/>
          <w:bCs/>
          <w:color w:val="000000"/>
          <w:lang w:val="fr-BE"/>
        </w:rPr>
        <w:t>in bad faith</w:t>
      </w:r>
      <w:r>
        <w:rPr>
          <w:color w:val="000000"/>
          <w:lang w:val="fr-BE"/>
        </w:rPr>
        <w:t>”) and to add a recital or interpretative clause clarifying narrow construction.</w:t>
      </w:r>
    </w:p>
  </w:comment>
  <w:comment w:id="10" w:author="Hadewich Van Als" w:date="2025-12-19T18:09:00Z" w:initials="HV">
    <w:p w14:paraId="31673975" w14:textId="399B3E32" w:rsidR="00BB2A85" w:rsidRDefault="00C7384A" w:rsidP="00BB2A85">
      <w:pPr>
        <w:pStyle w:val="CommentText"/>
      </w:pPr>
      <w:r>
        <w:rPr>
          <w:rStyle w:val="CommentReference"/>
        </w:rPr>
        <w:annotationRef/>
      </w:r>
      <w:r w:rsidR="00BB2A85">
        <w:t xml:space="preserve">I aligned this with Art. 82(1) GDPR - just also wondering about possible existing and future (national) caselaw on the topic. What are your thoughts about it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15B6B4" w15:done="0"/>
  <w15:commentEx w15:paraId="0E2F6C09" w15:done="0"/>
  <w15:commentEx w15:paraId="06EC9B4F" w15:done="1"/>
  <w15:commentEx w15:paraId="5C219934" w15:done="1"/>
  <w15:commentEx w15:paraId="45090FB0" w15:done="1"/>
  <w15:commentEx w15:paraId="478F4529" w15:done="1"/>
  <w15:commentEx w15:paraId="17C9E607" w15:done="0"/>
  <w15:commentEx w15:paraId="66E1C0A5" w15:done="1"/>
  <w15:commentEx w15:paraId="0445F7B4" w15:done="0"/>
  <w15:commentEx w15:paraId="3A1AA844" w15:done="0"/>
  <w15:commentEx w15:paraId="316739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FC8153" w16cex:dateUtc="2026-01-16T08:10:00Z"/>
  <w16cex:commentExtensible w16cex:durableId="66775C74" w16cex:dateUtc="2026-01-15T09:35:00Z"/>
  <w16cex:commentExtensible w16cex:durableId="5A3C189F" w16cex:dateUtc="2025-12-18T17:23:00Z"/>
  <w16cex:commentExtensible w16cex:durableId="1325834C" w16cex:dateUtc="2025-12-18T17:16:00Z"/>
  <w16cex:commentExtensible w16cex:durableId="61AEB4F0" w16cex:dateUtc="2025-12-18T17:24:00Z"/>
  <w16cex:commentExtensible w16cex:durableId="16FB0BE6" w16cex:dateUtc="2025-12-18T17:49:00Z"/>
  <w16cex:commentExtensible w16cex:durableId="68C4675D" w16cex:dateUtc="2025-12-19T11:17:00Z"/>
  <w16cex:commentExtensible w16cex:durableId="2C213CAD" w16cex:dateUtc="2025-12-19T17:55:00Z"/>
  <w16cex:commentExtensible w16cex:durableId="14755ED2" w16cex:dateUtc="2026-01-15T09:29:00Z"/>
  <w16cex:commentExtensible w16cex:durableId="25B43C64" w16cex:dateUtc="2026-01-13T15:33:00Z"/>
  <w16cex:commentExtensible w16cex:durableId="489F5B53" w16cex:dateUtc="2025-12-19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15B6B4" w16cid:durableId="63FC8153"/>
  <w16cid:commentId w16cid:paraId="0E2F6C09" w16cid:durableId="66775C74"/>
  <w16cid:commentId w16cid:paraId="06EC9B4F" w16cid:durableId="5A3C189F"/>
  <w16cid:commentId w16cid:paraId="5C219934" w16cid:durableId="1325834C"/>
  <w16cid:commentId w16cid:paraId="45090FB0" w16cid:durableId="61AEB4F0"/>
  <w16cid:commentId w16cid:paraId="478F4529" w16cid:durableId="16FB0BE6"/>
  <w16cid:commentId w16cid:paraId="17C9E607" w16cid:durableId="68C4675D"/>
  <w16cid:commentId w16cid:paraId="66E1C0A5" w16cid:durableId="2C213CAD"/>
  <w16cid:commentId w16cid:paraId="0445F7B4" w16cid:durableId="14755ED2"/>
  <w16cid:commentId w16cid:paraId="3A1AA844" w16cid:durableId="25B43C64"/>
  <w16cid:commentId w16cid:paraId="31673975" w16cid:durableId="489F5B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0840" w14:textId="77777777" w:rsidR="002F1688" w:rsidRDefault="002F1688" w:rsidP="00B70B12">
      <w:pPr>
        <w:spacing w:after="0" w:line="240" w:lineRule="auto"/>
      </w:pPr>
      <w:r>
        <w:separator/>
      </w:r>
    </w:p>
  </w:endnote>
  <w:endnote w:type="continuationSeparator" w:id="0">
    <w:p w14:paraId="5FF74625" w14:textId="77777777" w:rsidR="002F1688" w:rsidRDefault="002F1688" w:rsidP="00B7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9902" w14:textId="4DE9E76E" w:rsidR="00895AB2" w:rsidRDefault="00895AB2">
    <w:pPr>
      <w:pStyle w:val="Footer"/>
    </w:pPr>
    <w:r>
      <w:rPr>
        <w:noProof/>
        <w:lang w:val="fr-FR" w:eastAsia="fr-FR"/>
      </w:rPr>
      <mc:AlternateContent>
        <mc:Choice Requires="wps">
          <w:drawing>
            <wp:anchor distT="0" distB="0" distL="114300" distR="114300" simplePos="0" relativeHeight="251658243" behindDoc="1" locked="0" layoutInCell="1" allowOverlap="1" wp14:anchorId="244F4438" wp14:editId="4F44BB91">
              <wp:simplePos x="0" y="0"/>
              <wp:positionH relativeFrom="column">
                <wp:posOffset>-712470</wp:posOffset>
              </wp:positionH>
              <wp:positionV relativeFrom="paragraph">
                <wp:posOffset>1270</wp:posOffset>
              </wp:positionV>
              <wp:extent cx="7077075" cy="765810"/>
              <wp:effectExtent l="0" t="0" r="9525" b="0"/>
              <wp:wrapNone/>
              <wp:docPr id="3" name="Rectangle 3"/>
              <wp:cNvGraphicFramePr/>
              <a:graphic xmlns:a="http://schemas.openxmlformats.org/drawingml/2006/main">
                <a:graphicData uri="http://schemas.microsoft.com/office/word/2010/wordprocessingShape">
                  <wps:wsp>
                    <wps:cNvSpPr/>
                    <wps:spPr>
                      <a:xfrm>
                        <a:off x="0" y="0"/>
                        <a:ext cx="7077075" cy="765810"/>
                      </a:xfrm>
                      <a:prstGeom prst="rect">
                        <a:avLst/>
                      </a:prstGeom>
                      <a:solidFill>
                        <a:srgbClr val="009F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D3F83" id="Rectangle 3" o:spid="_x0000_s1026" style="position:absolute;margin-left:-56.1pt;margin-top:.1pt;width:557.25pt;height:60.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" fillcolor="#009fe3" stroked="f" strokeweight="2pt"/>
          </w:pict>
        </mc:Fallback>
      </mc:AlternateContent>
    </w:r>
    <w:r>
      <w:rPr>
        <w:noProof/>
        <w:lang w:val="fr-FR" w:eastAsia="fr-FR"/>
      </w:rPr>
      <mc:AlternateContent>
        <mc:Choice Requires="wps">
          <w:drawing>
            <wp:anchor distT="0" distB="0" distL="114300" distR="114300" simplePos="0" relativeHeight="251658241" behindDoc="0" locked="0" layoutInCell="1" allowOverlap="1" wp14:anchorId="5255AD8A" wp14:editId="45C4253F">
              <wp:simplePos x="0" y="0"/>
              <wp:positionH relativeFrom="page">
                <wp:align>center</wp:align>
              </wp:positionH>
              <wp:positionV relativeFrom="paragraph">
                <wp:posOffset>159674</wp:posOffset>
              </wp:positionV>
              <wp:extent cx="3438144" cy="640080"/>
              <wp:effectExtent l="0" t="0" r="0" b="7620"/>
              <wp:wrapNone/>
              <wp:docPr id="23" name="Text Box 15"/>
              <wp:cNvGraphicFramePr/>
              <a:graphic xmlns:a="http://schemas.openxmlformats.org/drawingml/2006/main">
                <a:graphicData uri="http://schemas.microsoft.com/office/word/2010/wordprocessingShape">
                  <wps:wsp>
                    <wps:cNvSpPr txBox="1"/>
                    <wps:spPr>
                      <a:xfrm>
                        <a:off x="0" y="0"/>
                        <a:ext cx="3438144" cy="640080"/>
                      </a:xfrm>
                      <a:prstGeom prst="rect">
                        <a:avLst/>
                      </a:prstGeom>
                      <a:noFill/>
                      <a:ln>
                        <a:noFill/>
                        <a:prstDash/>
                      </a:ln>
                    </wps:spPr>
                    <wps:txbx>
                      <w:txbxContent>
                        <w:p w14:paraId="7B664191" w14:textId="47204422" w:rsidR="00895AB2" w:rsidRPr="004D5E43" w:rsidRDefault="00895AB2" w:rsidP="0052434F">
                          <w:pPr>
                            <w:spacing w:after="0"/>
                            <w:jc w:val="center"/>
                            <w:rPr>
                              <w:rFonts w:ascii="Century Gothic" w:hAnsi="Century Gothic"/>
                              <w:b/>
                              <w:color w:val="FFFFFF"/>
                              <w:sz w:val="18"/>
                            </w:rPr>
                          </w:pPr>
                          <w:r w:rsidRPr="004D5E43">
                            <w:rPr>
                              <w:rFonts w:ascii="Century Gothic" w:hAnsi="Century Gothic"/>
                              <w:b/>
                              <w:color w:val="FFFFFF"/>
                              <w:sz w:val="18"/>
                            </w:rPr>
                            <w:t xml:space="preserve">Federation of European </w:t>
                          </w:r>
                          <w:r>
                            <w:rPr>
                              <w:rFonts w:ascii="Century Gothic" w:hAnsi="Century Gothic"/>
                              <w:b/>
                              <w:color w:val="FFFFFF"/>
                              <w:sz w:val="18"/>
                            </w:rPr>
                            <w:t>Data</w:t>
                          </w:r>
                          <w:r w:rsidRPr="004D5E43">
                            <w:rPr>
                              <w:rFonts w:ascii="Century Gothic" w:hAnsi="Century Gothic"/>
                              <w:b/>
                              <w:color w:val="FFFFFF"/>
                              <w:sz w:val="18"/>
                            </w:rPr>
                            <w:t xml:space="preserve"> and Marketing</w:t>
                          </w:r>
                        </w:p>
                        <w:p w14:paraId="1CEE545C" w14:textId="0A056947" w:rsidR="00895AB2" w:rsidRPr="00B05A41" w:rsidRDefault="005569A0" w:rsidP="0052434F">
                          <w:pPr>
                            <w:spacing w:after="0"/>
                            <w:jc w:val="center"/>
                            <w:rPr>
                              <w:rFonts w:ascii="Century Gothic" w:hAnsi="Century Gothic"/>
                              <w:color w:val="FFFFFF"/>
                              <w:sz w:val="18"/>
                              <w:lang w:val="fr-BE"/>
                            </w:rPr>
                          </w:pPr>
                          <w:r w:rsidRPr="00B05A41">
                            <w:rPr>
                              <w:rFonts w:ascii="Century Gothic" w:hAnsi="Century Gothic"/>
                              <w:color w:val="FFFFFF"/>
                              <w:sz w:val="18"/>
                              <w:lang w:val="fr-BE"/>
                            </w:rPr>
                            <w:t>Rue de la Loi 155</w:t>
                          </w:r>
                          <w:r w:rsidR="00895AB2" w:rsidRPr="00B05A41">
                            <w:rPr>
                              <w:rFonts w:ascii="Century Gothic" w:hAnsi="Century Gothic"/>
                              <w:color w:val="FFFFFF"/>
                              <w:sz w:val="18"/>
                              <w:lang w:val="fr-BE"/>
                            </w:rPr>
                            <w:t>, 1040 Brussels</w:t>
                          </w:r>
                        </w:p>
                        <w:p w14:paraId="7E270A7C" w14:textId="77777777" w:rsidR="00895AB2" w:rsidRPr="00B05A41" w:rsidRDefault="00895AB2" w:rsidP="0052434F">
                          <w:pPr>
                            <w:spacing w:after="0"/>
                            <w:jc w:val="center"/>
                            <w:rPr>
                              <w:rFonts w:ascii="Century Gothic" w:hAnsi="Century Gothic"/>
                              <w:sz w:val="16"/>
                              <w:lang w:val="fr-BE"/>
                            </w:rPr>
                          </w:pPr>
                          <w:r w:rsidRPr="00B05A41">
                            <w:rPr>
                              <w:rFonts w:ascii="Century Gothic" w:hAnsi="Century Gothic"/>
                              <w:color w:val="FFFFFF"/>
                              <w:sz w:val="18"/>
                              <w:lang w:val="fr-BE"/>
                            </w:rPr>
                            <w:t>+32 2 779 4268 www.fedma.org</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5255AD8A" id="_x0000_t202" coordsize="21600,21600" o:spt="202" path="m,l,21600r21600,l21600,xe">
              <v:stroke joinstyle="miter"/>
              <v:path gradientshapeok="t" o:connecttype="rect"/>
            </v:shapetype>
            <v:shape id="Text Box 15" o:spid="_x0000_s1027" type="#_x0000_t202" style="position:absolute;margin-left:0;margin-top:12.55pt;width:270.7pt;height:50.4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" filled="f" stroked="f">
              <v:textbox>
                <w:txbxContent>
                  <w:p w14:paraId="7B664191" w14:textId="47204422" w:rsidR="00895AB2" w:rsidRPr="004D5E43" w:rsidRDefault="00895AB2" w:rsidP="0052434F">
                    <w:pPr>
                      <w:spacing w:after="0"/>
                      <w:jc w:val="center"/>
                      <w:rPr>
                        <w:rFonts w:ascii="Century Gothic" w:hAnsi="Century Gothic"/>
                        <w:b/>
                        <w:color w:val="FFFFFF"/>
                        <w:sz w:val="18"/>
                      </w:rPr>
                    </w:pPr>
                    <w:r w:rsidRPr="004D5E43">
                      <w:rPr>
                        <w:rFonts w:ascii="Century Gothic" w:hAnsi="Century Gothic"/>
                        <w:b/>
                        <w:color w:val="FFFFFF"/>
                        <w:sz w:val="18"/>
                      </w:rPr>
                      <w:t xml:space="preserve">Federation of European </w:t>
                    </w:r>
                    <w:r>
                      <w:rPr>
                        <w:rFonts w:ascii="Century Gothic" w:hAnsi="Century Gothic"/>
                        <w:b/>
                        <w:color w:val="FFFFFF"/>
                        <w:sz w:val="18"/>
                      </w:rPr>
                      <w:t>Data</w:t>
                    </w:r>
                    <w:r w:rsidRPr="004D5E43">
                      <w:rPr>
                        <w:rFonts w:ascii="Century Gothic" w:hAnsi="Century Gothic"/>
                        <w:b/>
                        <w:color w:val="FFFFFF"/>
                        <w:sz w:val="18"/>
                      </w:rPr>
                      <w:t xml:space="preserve"> and Marketing</w:t>
                    </w:r>
                  </w:p>
                  <w:p w14:paraId="1CEE545C" w14:textId="0A056947" w:rsidR="00895AB2" w:rsidRPr="00B05A41" w:rsidRDefault="005569A0" w:rsidP="0052434F">
                    <w:pPr>
                      <w:spacing w:after="0"/>
                      <w:jc w:val="center"/>
                      <w:rPr>
                        <w:rFonts w:ascii="Century Gothic" w:hAnsi="Century Gothic"/>
                        <w:color w:val="FFFFFF"/>
                        <w:sz w:val="18"/>
                        <w:lang w:val="fr-BE"/>
                      </w:rPr>
                    </w:pPr>
                    <w:r w:rsidRPr="00B05A41">
                      <w:rPr>
                        <w:rFonts w:ascii="Century Gothic" w:hAnsi="Century Gothic"/>
                        <w:color w:val="FFFFFF"/>
                        <w:sz w:val="18"/>
                        <w:lang w:val="fr-BE"/>
                      </w:rPr>
                      <w:t>Rue de la Loi 155</w:t>
                    </w:r>
                    <w:r w:rsidR="00895AB2" w:rsidRPr="00B05A41">
                      <w:rPr>
                        <w:rFonts w:ascii="Century Gothic" w:hAnsi="Century Gothic"/>
                        <w:color w:val="FFFFFF"/>
                        <w:sz w:val="18"/>
                        <w:lang w:val="fr-BE"/>
                      </w:rPr>
                      <w:t>, 1040 Brussels</w:t>
                    </w:r>
                  </w:p>
                  <w:p w14:paraId="7E270A7C" w14:textId="77777777" w:rsidR="00895AB2" w:rsidRPr="00B05A41" w:rsidRDefault="00895AB2" w:rsidP="0052434F">
                    <w:pPr>
                      <w:spacing w:after="0"/>
                      <w:jc w:val="center"/>
                      <w:rPr>
                        <w:rFonts w:ascii="Century Gothic" w:hAnsi="Century Gothic"/>
                        <w:sz w:val="16"/>
                        <w:lang w:val="fr-BE"/>
                      </w:rPr>
                    </w:pPr>
                    <w:r w:rsidRPr="00B05A41">
                      <w:rPr>
                        <w:rFonts w:ascii="Century Gothic" w:hAnsi="Century Gothic"/>
                        <w:color w:val="FFFFFF"/>
                        <w:sz w:val="18"/>
                        <w:lang w:val="fr-BE"/>
                      </w:rPr>
                      <w:t>+32 2 779 4268 www.fedma.org</w:t>
                    </w:r>
                  </w:p>
                </w:txbxContent>
              </v:textbox>
              <w10:wrap anchorx="page"/>
            </v:shape>
          </w:pict>
        </mc:Fallback>
      </mc:AlternateContent>
    </w:r>
  </w:p>
  <w:p w14:paraId="16D192F5" w14:textId="7DB2C2D9" w:rsidR="00895AB2" w:rsidRDefault="00895AB2">
    <w:pPr>
      <w:pStyle w:val="Footer"/>
    </w:pPr>
  </w:p>
  <w:p w14:paraId="00FF8172" w14:textId="77777777" w:rsidR="00895AB2" w:rsidRDefault="00895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C5FB" w14:textId="77777777" w:rsidR="002F1688" w:rsidRDefault="002F1688" w:rsidP="00B70B12">
      <w:pPr>
        <w:spacing w:after="0" w:line="240" w:lineRule="auto"/>
      </w:pPr>
      <w:r>
        <w:separator/>
      </w:r>
    </w:p>
  </w:footnote>
  <w:footnote w:type="continuationSeparator" w:id="0">
    <w:p w14:paraId="1DFF2466" w14:textId="77777777" w:rsidR="002F1688" w:rsidRDefault="002F1688" w:rsidP="00B70B12">
      <w:pPr>
        <w:spacing w:after="0" w:line="240" w:lineRule="auto"/>
      </w:pPr>
      <w:r>
        <w:continuationSeparator/>
      </w:r>
    </w:p>
  </w:footnote>
  <w:footnote w:id="1">
    <w:p w14:paraId="72542BEC" w14:textId="4EC4DFB8" w:rsidR="00EB3D43" w:rsidRPr="00FC201D" w:rsidRDefault="00EB3D43">
      <w:pPr>
        <w:pStyle w:val="FootnoteText"/>
      </w:pPr>
      <w:r w:rsidRPr="00FC201D">
        <w:rPr>
          <w:rStyle w:val="FootnoteReference"/>
        </w:rPr>
        <w:footnoteRef/>
      </w:r>
      <w:r w:rsidRPr="00FC201D">
        <w:t xml:space="preserve"> </w:t>
      </w:r>
      <w:r w:rsidR="00FC066B" w:rsidRPr="00FC201D">
        <w:t>Centre</w:t>
      </w:r>
      <w:r w:rsidR="001239BF" w:rsidRPr="00FC201D">
        <w:t xml:space="preserve"> for Information Policy Leadership, ‘The Impact of Digital </w:t>
      </w:r>
      <w:r w:rsidR="00FC066B" w:rsidRPr="00FC201D">
        <w:t>Advertising</w:t>
      </w:r>
      <w:r w:rsidR="001239BF" w:rsidRPr="00FC201D">
        <w:t xml:space="preserve"> on Europe’s Competitiveness: a study on the role of digital advertising in Europe’, March 2025</w:t>
      </w:r>
      <w:r w:rsidR="00D111A0" w:rsidRPr="00FC201D">
        <w:t>, p.</w:t>
      </w:r>
      <w:r w:rsidR="00233A56" w:rsidRPr="00FC201D">
        <w:t>9</w:t>
      </w:r>
      <w:r w:rsidR="00D111A0" w:rsidRPr="00FC201D">
        <w:t xml:space="preserve"> </w:t>
      </w:r>
      <w:r w:rsidR="001239BF" w:rsidRPr="00FC201D">
        <w:t xml:space="preserve"> (</w:t>
      </w:r>
      <w:hyperlink r:id="rId1" w:history="1">
        <w:r w:rsidR="001239BF" w:rsidRPr="00FC201D">
          <w:rPr>
            <w:rStyle w:val="Hyperlink"/>
          </w:rPr>
          <w:t>weblink</w:t>
        </w:r>
      </w:hyperlink>
      <w:r w:rsidR="001239BF" w:rsidRPr="00FC201D">
        <w:t xml:space="preserve">). </w:t>
      </w:r>
    </w:p>
  </w:footnote>
  <w:footnote w:id="2">
    <w:p w14:paraId="044916D2" w14:textId="68DE8B8C" w:rsidR="00103AA9" w:rsidRPr="00103AA9" w:rsidRDefault="00103AA9">
      <w:pPr>
        <w:pStyle w:val="FootnoteText"/>
      </w:pPr>
      <w:r>
        <w:rPr>
          <w:rStyle w:val="FootnoteReference"/>
        </w:rPr>
        <w:footnoteRef/>
      </w:r>
      <w:r>
        <w:t xml:space="preserve"> Recital 4 GDPR. </w:t>
      </w:r>
    </w:p>
  </w:footnote>
  <w:footnote w:id="3">
    <w:p w14:paraId="0146A642" w14:textId="57A58CDB" w:rsidR="009C3C14" w:rsidRPr="009C3C14" w:rsidRDefault="009C3C14">
      <w:pPr>
        <w:pStyle w:val="FootnoteText"/>
      </w:pPr>
      <w:r>
        <w:rPr>
          <w:rStyle w:val="FootnoteReference"/>
        </w:rPr>
        <w:footnoteRef/>
      </w:r>
      <w:r>
        <w:t xml:space="preserve"> </w:t>
      </w:r>
      <w:r w:rsidR="008279DD" w:rsidRPr="00FC201D">
        <w:t>Case C-413/23 P SRB (</w:t>
      </w:r>
      <w:hyperlink r:id="rId2" w:history="1">
        <w:r w:rsidR="008279DD" w:rsidRPr="00FC201D">
          <w:rPr>
            <w:rStyle w:val="Hyperlink"/>
          </w:rPr>
          <w:t>weblink</w:t>
        </w:r>
      </w:hyperlink>
      <w:r w:rsidR="008279DD" w:rsidRPr="00FC201D">
        <w:t>)</w:t>
      </w:r>
      <w:r w:rsidR="00832C4F">
        <w:t xml:space="preserve">. </w:t>
      </w:r>
    </w:p>
  </w:footnote>
  <w:footnote w:id="4">
    <w:p w14:paraId="2F1599E9" w14:textId="2DED2CFA" w:rsidR="000B7772" w:rsidRPr="00B55AEA" w:rsidRDefault="000B7772" w:rsidP="00B55AEA">
      <w:pPr>
        <w:spacing w:after="0" w:line="240" w:lineRule="auto"/>
        <w:rPr>
          <w:sz w:val="20"/>
          <w:szCs w:val="20"/>
        </w:rPr>
      </w:pPr>
      <w:r>
        <w:rPr>
          <w:rStyle w:val="FootnoteReference"/>
        </w:rPr>
        <w:footnoteRef/>
      </w:r>
      <w:r>
        <w:t xml:space="preserve"> </w:t>
      </w:r>
      <w:r w:rsidR="00D37626" w:rsidRPr="00D37626">
        <w:t>Case C-654/23</w:t>
      </w:r>
      <w:r w:rsidR="00B55AEA">
        <w:t xml:space="preserve"> </w:t>
      </w:r>
      <w:r w:rsidR="00B55AEA" w:rsidRPr="00B55AEA">
        <w:rPr>
          <w:sz w:val="20"/>
          <w:szCs w:val="20"/>
        </w:rPr>
        <w:t>Inteligo Media SA</w:t>
      </w:r>
      <w:r w:rsidR="00B55AEA">
        <w:rPr>
          <w:sz w:val="20"/>
          <w:szCs w:val="20"/>
        </w:rPr>
        <w:t xml:space="preserve"> v. </w:t>
      </w:r>
      <w:r w:rsidR="00B55AEA" w:rsidRPr="00B55AEA">
        <w:rPr>
          <w:sz w:val="20"/>
          <w:szCs w:val="20"/>
        </w:rPr>
        <w:t>Autoritatea Naţională de Supraveghere a Prelucrării Datelor cu Caracter Personal (ANSPDCP)</w:t>
      </w:r>
      <w:r w:rsidR="00624CF3">
        <w:t>, paragraph 63 (</w:t>
      </w:r>
      <w:hyperlink r:id="rId3" w:history="1">
        <w:r w:rsidR="00624CF3" w:rsidRPr="00E40430">
          <w:rPr>
            <w:rStyle w:val="Hyperlink"/>
          </w:rPr>
          <w:t>weblink</w:t>
        </w:r>
      </w:hyperlink>
      <w:r w:rsidR="00624CF3">
        <w:t>).</w:t>
      </w:r>
    </w:p>
  </w:footnote>
  <w:footnote w:id="5">
    <w:p w14:paraId="2225063A" w14:textId="67E9D28B" w:rsidR="00C81596" w:rsidRPr="00834A28" w:rsidRDefault="00C81596" w:rsidP="0011383A">
      <w:pPr>
        <w:pStyle w:val="FootnoteText"/>
      </w:pPr>
      <w:r>
        <w:rPr>
          <w:rStyle w:val="FootnoteReference"/>
        </w:rPr>
        <w:footnoteRef/>
      </w:r>
      <w:r>
        <w:t xml:space="preserve"> </w:t>
      </w:r>
      <w:r w:rsidR="00834A28" w:rsidRPr="00834A28">
        <w:t>M</w:t>
      </w:r>
      <w:r w:rsidR="00834A28">
        <w:t>ore concretely, FEDMA proposes the deletion of the following</w:t>
      </w:r>
      <w:r w:rsidR="00F16BEC">
        <w:t xml:space="preserve"> in Art. 13(3)</w:t>
      </w:r>
      <w:r w:rsidR="00834A28">
        <w:t xml:space="preserve">: </w:t>
      </w:r>
      <w:r w:rsidR="00EE3F38">
        <w:t xml:space="preserve">‘either without the consent of the subscribers or users concerned or’ and </w:t>
      </w:r>
      <w:r w:rsidR="0011383A">
        <w:t xml:space="preserve">‘the choice between these options to be determined by national legislation, taking into account that both options’. </w:t>
      </w:r>
    </w:p>
  </w:footnote>
  <w:footnote w:id="6">
    <w:p w14:paraId="0963609D" w14:textId="675EE7A4" w:rsidR="009905CA" w:rsidRPr="009905CA" w:rsidRDefault="009905CA">
      <w:pPr>
        <w:pStyle w:val="FootnoteText"/>
      </w:pPr>
      <w:r w:rsidRPr="00837897">
        <w:rPr>
          <w:rStyle w:val="FootnoteReference"/>
        </w:rPr>
        <w:footnoteRef/>
      </w:r>
      <w:r w:rsidRPr="00837897">
        <w:t xml:space="preserve"> </w:t>
      </w:r>
      <w:r w:rsidR="00F12B77" w:rsidRPr="00837897">
        <w:t xml:space="preserve">In the case </w:t>
      </w:r>
      <w:r w:rsidR="006D2F0E" w:rsidRPr="00837897">
        <w:t>C</w:t>
      </w:r>
      <w:r w:rsidR="006D2F0E" w:rsidRPr="00837897">
        <w:rPr>
          <w:rFonts w:ascii="Cambria Math" w:hAnsi="Cambria Math" w:cs="Cambria Math"/>
        </w:rPr>
        <w:t>‑</w:t>
      </w:r>
      <w:r w:rsidR="006D2F0E" w:rsidRPr="00837897">
        <w:t>129/21</w:t>
      </w:r>
      <w:r w:rsidR="006D2F0E" w:rsidRPr="004F2941">
        <w:t xml:space="preserve"> </w:t>
      </w:r>
      <w:r w:rsidR="005F64D6" w:rsidRPr="00837897">
        <w:t>Proximus NV</w:t>
      </w:r>
      <w:r w:rsidR="005F64D6" w:rsidRPr="004F2941">
        <w:t xml:space="preserve"> v. </w:t>
      </w:r>
      <w:r w:rsidR="005F64D6" w:rsidRPr="00837897">
        <w:t xml:space="preserve">Gegevensbeschermingsautoriteit </w:t>
      </w:r>
      <w:r w:rsidR="00E70CF3" w:rsidRPr="00837897">
        <w:t>(</w:t>
      </w:r>
      <w:hyperlink r:id="rId4" w:history="1">
        <w:r w:rsidR="00E70CF3" w:rsidRPr="00837897">
          <w:rPr>
            <w:rStyle w:val="Hyperlink"/>
          </w:rPr>
          <w:t>weblink</w:t>
        </w:r>
      </w:hyperlink>
      <w:r w:rsidR="00E70CF3" w:rsidRPr="00837897">
        <w:t xml:space="preserve">), </w:t>
      </w:r>
      <w:r w:rsidR="007A7540" w:rsidRPr="00837897">
        <w:t xml:space="preserve">the European Court of Justice clarified that the ePrivacy Directive is a </w:t>
      </w:r>
      <w:r w:rsidR="007A7540" w:rsidRPr="004F2941">
        <w:rPr>
          <w:i/>
          <w:iCs/>
        </w:rPr>
        <w:t>lex specialis</w:t>
      </w:r>
      <w:r w:rsidR="007A7540" w:rsidRPr="00837897">
        <w:t xml:space="preserve"> of the GDPR</w:t>
      </w:r>
      <w:r w:rsidR="0059411D" w:rsidRPr="00837897">
        <w:t xml:space="preserve"> (ref. paragraph )</w:t>
      </w:r>
      <w:r w:rsidR="00837897" w:rsidRPr="00837897">
        <w:t>33</w:t>
      </w:r>
      <w:r w:rsidR="007A7540" w:rsidRPr="00837897">
        <w:t xml:space="preserve">, thereby </w:t>
      </w:r>
      <w:r w:rsidR="00B82076" w:rsidRPr="00837897">
        <w:t>clarifying the interplay of this legislation.</w:t>
      </w:r>
      <w:r w:rsidR="006E032E" w:rsidRPr="00837897">
        <w:t xml:space="preserve"> </w:t>
      </w:r>
      <w:r w:rsidR="00837897" w:rsidRPr="00837897">
        <w:t xml:space="preserve">This is also enshrined in recital 173 and Art. 95 GDPR. </w:t>
      </w:r>
      <w:r w:rsidR="006E032E" w:rsidRPr="00837897">
        <w:t xml:space="preserve">While one legislation on data </w:t>
      </w:r>
      <w:r w:rsidR="0059411D" w:rsidRPr="00837897">
        <w:t xml:space="preserve">processing covering both personal data as non-personal data </w:t>
      </w:r>
      <w:r w:rsidR="006E032E" w:rsidRPr="00837897">
        <w:t xml:space="preserve">would result in a more simplified </w:t>
      </w:r>
      <w:r w:rsidR="00837897" w:rsidRPr="00837897">
        <w:t xml:space="preserve">and accessible </w:t>
      </w:r>
      <w:r w:rsidR="006E032E" w:rsidRPr="00837897">
        <w:t>approach, t</w:t>
      </w:r>
      <w:r w:rsidR="00E96580" w:rsidRPr="00837897">
        <w:t>he main factor creating legal uncertainty is the diversity of interpretations across Member States.</w:t>
      </w:r>
      <w:r w:rsidR="00E96580">
        <w:t xml:space="preserve"> </w:t>
      </w:r>
    </w:p>
  </w:footnote>
  <w:footnote w:id="7">
    <w:p w14:paraId="29F9037B" w14:textId="2D1A8F2B" w:rsidR="00F71C6D" w:rsidRPr="00FC201D" w:rsidRDefault="00F71C6D">
      <w:pPr>
        <w:pStyle w:val="FootnoteText"/>
      </w:pPr>
      <w:r w:rsidRPr="00FC201D">
        <w:rPr>
          <w:rStyle w:val="FootnoteReference"/>
        </w:rPr>
        <w:footnoteRef/>
      </w:r>
      <w:r w:rsidRPr="00FC201D">
        <w:t xml:space="preserve"> Case C-413/23 P</w:t>
      </w:r>
      <w:r w:rsidR="00110AEC" w:rsidRPr="00FC201D">
        <w:t xml:space="preserve"> </w:t>
      </w:r>
      <w:r w:rsidR="00923C47" w:rsidRPr="00FC201D">
        <w:t xml:space="preserve">SRB </w:t>
      </w:r>
      <w:r w:rsidR="00110AEC" w:rsidRPr="00FC201D">
        <w:t>(</w:t>
      </w:r>
      <w:hyperlink r:id="rId5" w:history="1">
        <w:r w:rsidR="00110AEC" w:rsidRPr="00FC201D">
          <w:rPr>
            <w:rStyle w:val="Hyperlink"/>
          </w:rPr>
          <w:t>weblink</w:t>
        </w:r>
      </w:hyperlink>
      <w:r w:rsidR="00110AEC" w:rsidRPr="00FC201D">
        <w:t>)</w:t>
      </w:r>
    </w:p>
  </w:footnote>
  <w:footnote w:id="8">
    <w:p w14:paraId="7F557308" w14:textId="0EFE5073" w:rsidR="00C00669" w:rsidRPr="00FC201D" w:rsidRDefault="00C00669">
      <w:pPr>
        <w:pStyle w:val="FootnoteText"/>
      </w:pPr>
      <w:r w:rsidRPr="00FC201D">
        <w:rPr>
          <w:rStyle w:val="FootnoteReference"/>
        </w:rPr>
        <w:footnoteRef/>
      </w:r>
      <w:r w:rsidRPr="00FC201D">
        <w:t xml:space="preserve"> </w:t>
      </w:r>
      <w:r w:rsidR="007E3908" w:rsidRPr="00FC201D">
        <w:t xml:space="preserve">Privacy Enhancing Technologies are an umbrella term </w:t>
      </w:r>
      <w:r w:rsidR="00974B0B" w:rsidRPr="00FC201D">
        <w:t xml:space="preserve">to designate multiple tools used to </w:t>
      </w:r>
      <w:r w:rsidR="00713395" w:rsidRPr="00FC201D">
        <w:t>improve security, maintain user privacy</w:t>
      </w:r>
      <w:r w:rsidR="009C7457" w:rsidRPr="00FC201D">
        <w:t xml:space="preserve">, through an additional layer of protection, for instance, by minimising the amount of data processed by third parties. </w:t>
      </w:r>
    </w:p>
  </w:footnote>
  <w:footnote w:id="9">
    <w:p w14:paraId="7D26F110" w14:textId="2D47A8D4" w:rsidR="00585382" w:rsidRPr="00FC201D" w:rsidRDefault="00585382">
      <w:pPr>
        <w:pStyle w:val="FootnoteText"/>
      </w:pPr>
      <w:r w:rsidRPr="00FC201D">
        <w:rPr>
          <w:rStyle w:val="FootnoteReference"/>
        </w:rPr>
        <w:footnoteRef/>
      </w:r>
      <w:r w:rsidRPr="00FC201D">
        <w:t xml:space="preserve"> OECD report Emerging Privacy Enhancing Technologies: Current Regulatory and Policy Approaches</w:t>
      </w:r>
      <w:r w:rsidR="00ED528B" w:rsidRPr="00FC201D">
        <w:t>,</w:t>
      </w:r>
      <w:r w:rsidR="00D111A0" w:rsidRPr="00FC201D">
        <w:t xml:space="preserve"> March 2023</w:t>
      </w:r>
      <w:r w:rsidR="000925A7" w:rsidRPr="00FC201D">
        <w:t>,</w:t>
      </w:r>
      <w:r w:rsidR="00ED528B" w:rsidRPr="00FC201D">
        <w:t xml:space="preserve"> pp. 4–5, 8–9</w:t>
      </w:r>
      <w:r w:rsidR="007524C6" w:rsidRPr="00FC201D">
        <w:t xml:space="preserve"> (</w:t>
      </w:r>
      <w:hyperlink r:id="rId6" w:history="1">
        <w:r w:rsidR="007524C6" w:rsidRPr="00FC201D">
          <w:rPr>
            <w:rStyle w:val="Hyperlink"/>
          </w:rPr>
          <w:t>weblink</w:t>
        </w:r>
      </w:hyperlink>
      <w:r w:rsidR="007524C6" w:rsidRPr="00FC201D">
        <w:t>)</w:t>
      </w:r>
      <w:r w:rsidR="00ED528B" w:rsidRPr="00FC201D">
        <w:t xml:space="preserve">. </w:t>
      </w:r>
    </w:p>
  </w:footnote>
  <w:footnote w:id="10">
    <w:p w14:paraId="0881344F" w14:textId="46EC61B5" w:rsidR="00B75B6D" w:rsidRPr="00FC201D" w:rsidRDefault="00B75B6D">
      <w:pPr>
        <w:pStyle w:val="FootnoteText"/>
      </w:pPr>
      <w:r w:rsidRPr="00FC201D">
        <w:rPr>
          <w:rStyle w:val="FootnoteReference"/>
        </w:rPr>
        <w:footnoteRef/>
      </w:r>
      <w:r w:rsidRPr="00FC201D">
        <w:t xml:space="preserve"> OECD report Emerging Privacy Enhancing Technologies: Current Regulatory and Policy Approaches, p</w:t>
      </w:r>
      <w:r w:rsidR="008E07B8" w:rsidRPr="00FC201D">
        <w:t xml:space="preserve">. 39. </w:t>
      </w:r>
    </w:p>
  </w:footnote>
  <w:footnote w:id="11">
    <w:p w14:paraId="0CB8D4E5" w14:textId="3EB144A1" w:rsidR="001C57E0" w:rsidRPr="00FC201D" w:rsidRDefault="001C57E0">
      <w:pPr>
        <w:pStyle w:val="FootnoteText"/>
      </w:pPr>
      <w:r w:rsidRPr="00FC201D">
        <w:rPr>
          <w:rStyle w:val="FootnoteReference"/>
        </w:rPr>
        <w:footnoteRef/>
      </w:r>
      <w:r w:rsidRPr="00FC201D">
        <w:t xml:space="preserve"> </w:t>
      </w:r>
      <w:r w:rsidR="00D50297" w:rsidRPr="00FC201D">
        <w:t xml:space="preserve">Art. 70 GDPR. </w:t>
      </w:r>
      <w:r w:rsidRPr="00FC201D">
        <w:t xml:space="preserve"> </w:t>
      </w:r>
    </w:p>
  </w:footnote>
  <w:footnote w:id="12">
    <w:p w14:paraId="5ABB37B4" w14:textId="68B6079C" w:rsidR="008917D0" w:rsidRPr="008917D0" w:rsidRDefault="008917D0">
      <w:pPr>
        <w:pStyle w:val="FootnoteText"/>
      </w:pPr>
      <w:r>
        <w:rPr>
          <w:rStyle w:val="FootnoteReference"/>
        </w:rPr>
        <w:footnoteRef/>
      </w:r>
      <w:r>
        <w:t xml:space="preserve"> </w:t>
      </w:r>
      <w:r w:rsidR="00637165" w:rsidRPr="00637165">
        <w:t>Directive (EU) 2022/2555 of the European Parliament and of the Council of 14 December 2022 on measures for a high common level of cybersecurity across the Union, amending Regulation (EU) No 910/2014 and Directive (EU) 2018/1972, and repealing Directive (EU) 2016/1148</w:t>
      </w:r>
      <w:r w:rsidR="00637165">
        <w:t xml:space="preserve"> (</w:t>
      </w:r>
      <w:hyperlink r:id="rId7" w:history="1">
        <w:r w:rsidR="00637165" w:rsidRPr="00637165">
          <w:rPr>
            <w:rStyle w:val="Hyperlink"/>
          </w:rPr>
          <w:t>weblink</w:t>
        </w:r>
      </w:hyperlink>
      <w:r w:rsidR="00637165">
        <w:t>).</w:t>
      </w:r>
    </w:p>
  </w:footnote>
  <w:footnote w:id="13">
    <w:p w14:paraId="1EB5D3E0" w14:textId="4C17CDFA" w:rsidR="00B47563" w:rsidRPr="00B47563" w:rsidRDefault="00B47563">
      <w:pPr>
        <w:pStyle w:val="FootnoteText"/>
      </w:pPr>
      <w:r>
        <w:rPr>
          <w:rStyle w:val="FootnoteReference"/>
        </w:rPr>
        <w:footnoteRef/>
      </w:r>
      <w:r>
        <w:t xml:space="preserve"> </w:t>
      </w:r>
      <w:r w:rsidR="00834B2D">
        <w:t>EDPB Guidelines 9/2022 on personal data breach notification under GDPR (</w:t>
      </w:r>
      <w:hyperlink r:id="rId8" w:history="1">
        <w:r w:rsidR="00834B2D" w:rsidRPr="00D5518C">
          <w:rPr>
            <w:rStyle w:val="Hyperlink"/>
          </w:rPr>
          <w:t>weblink</w:t>
        </w:r>
      </w:hyperlink>
      <w:r w:rsidR="00834B2D">
        <w:t xml:space="preserve">). </w:t>
      </w:r>
    </w:p>
  </w:footnote>
  <w:footnote w:id="14">
    <w:p w14:paraId="0720B6D3" w14:textId="06BED901" w:rsidR="008948F4" w:rsidRPr="00FC201D" w:rsidRDefault="008948F4">
      <w:pPr>
        <w:pStyle w:val="FootnoteText"/>
      </w:pPr>
      <w:r w:rsidRPr="00FC201D">
        <w:rPr>
          <w:rStyle w:val="FootnoteReference"/>
        </w:rPr>
        <w:footnoteRef/>
      </w:r>
      <w:r w:rsidRPr="00FC201D">
        <w:t xml:space="preserve"> </w:t>
      </w:r>
      <w:r w:rsidR="009523D5">
        <w:t xml:space="preserve">Opinion of </w:t>
      </w:r>
      <w:r w:rsidR="00BE7313">
        <w:t>Advocate General Szpunar</w:t>
      </w:r>
      <w:r w:rsidR="00085E6B">
        <w:t xml:space="preserve"> for case </w:t>
      </w:r>
      <w:r w:rsidR="00085E6B" w:rsidRPr="00085E6B">
        <w:t>C</w:t>
      </w:r>
      <w:r w:rsidR="00085E6B" w:rsidRPr="00085E6B">
        <w:rPr>
          <w:rFonts w:ascii="Cambria Math" w:hAnsi="Cambria Math" w:cs="Cambria Math"/>
        </w:rPr>
        <w:t>‑</w:t>
      </w:r>
      <w:r w:rsidR="00085E6B" w:rsidRPr="00085E6B">
        <w:t>526/24</w:t>
      </w:r>
      <w:r w:rsidR="008E016D">
        <w:t xml:space="preserve"> </w:t>
      </w:r>
      <w:r w:rsidR="008E016D" w:rsidRPr="008E016D">
        <w:t>Brillen Rottler GmbH &amp; Co. KG</w:t>
      </w:r>
      <w:r w:rsidR="008E016D">
        <w:t xml:space="preserve"> v. TC, </w:t>
      </w:r>
      <w:r w:rsidR="008E016D" w:rsidRPr="005A7C38">
        <w:t>paragraph</w:t>
      </w:r>
      <w:r w:rsidR="00AD1D9C" w:rsidRPr="005A7C38">
        <w:t>s</w:t>
      </w:r>
      <w:r w:rsidR="00AD1D9C">
        <w:t xml:space="preserve"> </w:t>
      </w:r>
      <w:r w:rsidR="0031539D">
        <w:t>44 to 50</w:t>
      </w:r>
      <w:r w:rsidR="00DF3454">
        <w:t xml:space="preserve"> in which the Advocate General explains that</w:t>
      </w:r>
      <w:r w:rsidR="009D7406">
        <w:t>,</w:t>
      </w:r>
      <w:r w:rsidR="00DF3454">
        <w:t xml:space="preserve"> w</w:t>
      </w:r>
      <w:r w:rsidR="00DF3454" w:rsidRPr="00DF3454">
        <w:t xml:space="preserve">hile access requests can legitimately support damage claims, they become abusive if the data subject’s </w:t>
      </w:r>
      <w:r w:rsidR="00BA178F">
        <w:t>only</w:t>
      </w:r>
      <w:r w:rsidR="00DF3454" w:rsidRPr="00DF3454">
        <w:t xml:space="preserve"> intention is to provoke a refusal and exploit GDPR rights for purposes unrelated to data protection </w:t>
      </w:r>
      <w:r w:rsidR="00DA011E">
        <w:t>(</w:t>
      </w:r>
      <w:hyperlink r:id="rId9" w:history="1">
        <w:r w:rsidR="00DA011E" w:rsidRPr="00DA396E">
          <w:rPr>
            <w:rStyle w:val="Hyperlink"/>
          </w:rPr>
          <w:t>weblink</w:t>
        </w:r>
      </w:hyperlink>
      <w:r w:rsidR="00DA011E">
        <w:t xml:space="preserve">). </w:t>
      </w:r>
      <w:r w:rsidR="001803BC">
        <w:t xml:space="preserve">The opinion </w:t>
      </w:r>
      <w:r w:rsidR="00201F7E">
        <w:t>refers to</w:t>
      </w:r>
      <w:r w:rsidR="001803BC">
        <w:t xml:space="preserve"> previous caselaw, e.g. : c</w:t>
      </w:r>
      <w:r w:rsidRPr="00FC201D">
        <w:t xml:space="preserve">ase C-416/23 </w:t>
      </w:r>
      <w:r w:rsidR="00D33901" w:rsidRPr="00FC201D">
        <w:t xml:space="preserve">Österreichische Datenschutzbehörde v. F R, </w:t>
      </w:r>
      <w:r w:rsidR="00EA0421">
        <w:t>paragraph 50</w:t>
      </w:r>
      <w:r w:rsidR="008E016D">
        <w:t>,</w:t>
      </w:r>
      <w:r w:rsidR="00EA0421">
        <w:t xml:space="preserve"> </w:t>
      </w:r>
      <w:r w:rsidR="001756F8" w:rsidRPr="00FC201D">
        <w:t xml:space="preserve">specifying that </w:t>
      </w:r>
      <w:r w:rsidR="00A064BA">
        <w:t xml:space="preserve">the </w:t>
      </w:r>
      <w:r w:rsidR="00567473" w:rsidRPr="00567473">
        <w:t>manifestly unfounded or excessive</w:t>
      </w:r>
      <w:r w:rsidR="00567473">
        <w:t xml:space="preserve"> </w:t>
      </w:r>
      <w:r w:rsidR="00A064BA">
        <w:t xml:space="preserve">character of a request under Art. </w:t>
      </w:r>
      <w:r w:rsidR="00C04647">
        <w:t xml:space="preserve">57(4) GDPR </w:t>
      </w:r>
      <w:r w:rsidR="005D3596">
        <w:t xml:space="preserve">is not only characterised by </w:t>
      </w:r>
      <w:r w:rsidR="0059425A">
        <w:t>its</w:t>
      </w:r>
      <w:r w:rsidR="00567473">
        <w:t xml:space="preserve"> repetitiveness (i.e. the</w:t>
      </w:r>
      <w:r w:rsidR="0059425A">
        <w:t xml:space="preserve"> number </w:t>
      </w:r>
      <w:r w:rsidR="00567473">
        <w:t xml:space="preserve">of requests </w:t>
      </w:r>
      <w:r w:rsidR="0059425A">
        <w:t>during a specific period</w:t>
      </w:r>
      <w:r w:rsidR="00567473">
        <w:t>)</w:t>
      </w:r>
      <w:r w:rsidR="0059425A">
        <w:t xml:space="preserve">, </w:t>
      </w:r>
      <w:r w:rsidR="009E5D2E">
        <w:t>because</w:t>
      </w:r>
      <w:r w:rsidR="00EE54CE">
        <w:t xml:space="preserve"> the supervisory authority</w:t>
      </w:r>
      <w:r w:rsidR="00EB48CD">
        <w:t>,</w:t>
      </w:r>
      <w:r w:rsidR="00EB48CD" w:rsidRPr="00EB48CD">
        <w:t xml:space="preserve"> </w:t>
      </w:r>
      <w:r w:rsidR="00EB48CD">
        <w:t>h</w:t>
      </w:r>
      <w:r w:rsidR="00EB48CD" w:rsidRPr="00EB48CD">
        <w:t>aving regard to all the relevant circumstances of each case,</w:t>
      </w:r>
      <w:r w:rsidR="00EB48CD">
        <w:t xml:space="preserve"> </w:t>
      </w:r>
      <w:r w:rsidR="00EE54CE">
        <w:t xml:space="preserve"> also needs to demonstrate an abusive intention on the part of the person</w:t>
      </w:r>
      <w:r w:rsidR="00FD4CD3">
        <w:t xml:space="preserve"> who submitted the request (</w:t>
      </w:r>
      <w:hyperlink r:id="rId10" w:history="1">
        <w:r w:rsidR="00FD4CD3" w:rsidRPr="00FD4CD3">
          <w:rPr>
            <w:rStyle w:val="Hyperlink"/>
          </w:rPr>
          <w:t>weblink</w:t>
        </w:r>
      </w:hyperlink>
      <w:r w:rsidR="00FD4CD3">
        <w:t xml:space="preserve">). </w:t>
      </w:r>
      <w:r w:rsidR="00201F7E">
        <w:t xml:space="preserve">In its opinion, the Advocate General </w:t>
      </w:r>
      <w:r w:rsidR="00085E6B">
        <w:t>Szpunar s</w:t>
      </w:r>
      <w:r w:rsidR="00201F7E">
        <w:t xml:space="preserve">pecifies that </w:t>
      </w:r>
      <w:r w:rsidR="00E85E8E">
        <w:t>because</w:t>
      </w:r>
      <w:r w:rsidR="00201F7E" w:rsidRPr="00201F7E">
        <w:t xml:space="preserve"> both provisions</w:t>
      </w:r>
      <w:r w:rsidR="00201F7E">
        <w:t xml:space="preserve"> (i.e., Arts. 57(4) and 12(5) GDPR)</w:t>
      </w:r>
      <w:r w:rsidR="00201F7E" w:rsidRPr="00201F7E">
        <w:t xml:space="preserve"> use identical wording and serve the same purpose</w:t>
      </w:r>
      <w:r w:rsidR="00201F7E">
        <w:t xml:space="preserve">, </w:t>
      </w:r>
      <w:r w:rsidR="00E85E8E">
        <w:t>the same interpretation applies (ref. paragraph 40 of the opinion</w:t>
      </w:r>
      <w:r w:rsidR="00DA011E">
        <w:t xml:space="preserve"> - </w:t>
      </w:r>
      <w:hyperlink r:id="rId11" w:history="1">
        <w:r w:rsidR="00DA011E" w:rsidRPr="00DA396E">
          <w:rPr>
            <w:rStyle w:val="Hyperlink"/>
          </w:rPr>
          <w:t>weblink</w:t>
        </w:r>
      </w:hyperlink>
      <w:r w:rsidR="00E85E8E">
        <w:t xml:space="preserve">). </w:t>
      </w:r>
      <w:r w:rsidR="002C3B37" w:rsidRPr="002C3B37">
        <w:t>Crucially, access requests become abusive and demonstrate bad faith if the data subject’s intention is not to obtain the personal data, but solely to provoke a refusal, disrupt operations, or exploit GDPR rights for coercive purposes unrelated to data protection.</w:t>
      </w:r>
    </w:p>
  </w:footnote>
  <w:footnote w:id="15">
    <w:p w14:paraId="082CF859" w14:textId="7314714E" w:rsidR="00965139" w:rsidRPr="00AE6656" w:rsidRDefault="00965139" w:rsidP="00EE1B65">
      <w:pPr>
        <w:pStyle w:val="FootnoteText"/>
        <w:jc w:val="both"/>
        <w:rPr>
          <w:lang w:val="de-DE"/>
        </w:rPr>
      </w:pPr>
      <w:r w:rsidRPr="00FC201D">
        <w:rPr>
          <w:rStyle w:val="FootnoteReference"/>
        </w:rPr>
        <w:footnoteRef/>
      </w:r>
      <w:r w:rsidRPr="00FC201D">
        <w:t xml:space="preserve"> </w:t>
      </w:r>
      <w:r w:rsidR="00F94685" w:rsidRPr="00FC201D">
        <w:t>Case C</w:t>
      </w:r>
      <w:r w:rsidR="00F94685" w:rsidRPr="00FC201D">
        <w:rPr>
          <w:rFonts w:ascii="Cambria Math" w:hAnsi="Cambria Math" w:cs="Cambria Math"/>
        </w:rPr>
        <w:t>‑</w:t>
      </w:r>
      <w:r w:rsidR="00F94685" w:rsidRPr="00FC201D">
        <w:t xml:space="preserve">340/21 </w:t>
      </w:r>
      <w:r w:rsidR="006C7CBB" w:rsidRPr="00FC201D">
        <w:t>VB v. Natsionalna agentsia za prihodite, paragraph</w:t>
      </w:r>
      <w:r w:rsidR="00092015" w:rsidRPr="00FC201D">
        <w:t>s 83 to 86</w:t>
      </w:r>
      <w:r w:rsidR="00CD1D75" w:rsidRPr="00FC201D">
        <w:t xml:space="preserve"> (</w:t>
      </w:r>
      <w:hyperlink r:id="rId12" w:history="1">
        <w:r w:rsidR="00CD1D75" w:rsidRPr="00FC201D">
          <w:rPr>
            <w:rStyle w:val="Hyperlink"/>
          </w:rPr>
          <w:t>weblink</w:t>
        </w:r>
      </w:hyperlink>
      <w:r w:rsidR="00CD1D75" w:rsidRPr="00FC201D">
        <w:t>)</w:t>
      </w:r>
      <w:r w:rsidR="00092015" w:rsidRPr="00FC201D">
        <w:t xml:space="preserve">. </w:t>
      </w:r>
      <w:r w:rsidR="006C7CBB" w:rsidRPr="00FC201D">
        <w:t xml:space="preserve"> </w:t>
      </w:r>
      <w:r w:rsidR="00EB773F" w:rsidRPr="00AE6656">
        <w:rPr>
          <w:lang w:val="de-DE"/>
        </w:rPr>
        <w:t>Case C</w:t>
      </w:r>
      <w:r w:rsidR="00EB773F" w:rsidRPr="00AE6656">
        <w:rPr>
          <w:rFonts w:ascii="Cambria Math" w:hAnsi="Cambria Math" w:cs="Cambria Math"/>
          <w:lang w:val="de-DE"/>
        </w:rPr>
        <w:t>‑</w:t>
      </w:r>
      <w:r w:rsidR="00EB773F" w:rsidRPr="00AE6656">
        <w:rPr>
          <w:lang w:val="de-DE"/>
        </w:rPr>
        <w:t xml:space="preserve">741/21 </w:t>
      </w:r>
      <w:r w:rsidR="00C808BA" w:rsidRPr="00AE6656">
        <w:rPr>
          <w:lang w:val="de-DE"/>
        </w:rPr>
        <w:t xml:space="preserve">GP v. </w:t>
      </w:r>
      <w:r w:rsidR="001F535D" w:rsidRPr="00AE6656">
        <w:rPr>
          <w:lang w:val="de-DE"/>
        </w:rPr>
        <w:t xml:space="preserve">juris GmbH, </w:t>
      </w:r>
      <w:r w:rsidR="00302745" w:rsidRPr="00AE6656">
        <w:rPr>
          <w:lang w:val="de-DE"/>
        </w:rPr>
        <w:t>paragraphs 42</w:t>
      </w:r>
      <w:r w:rsidR="008A0ECE" w:rsidRPr="00AE6656">
        <w:rPr>
          <w:lang w:val="de-DE"/>
        </w:rPr>
        <w:t>, 43</w:t>
      </w:r>
      <w:r w:rsidR="002C2EEC" w:rsidRPr="00AE6656">
        <w:rPr>
          <w:lang w:val="de-DE"/>
        </w:rPr>
        <w:t>, 64</w:t>
      </w:r>
      <w:r w:rsidR="001F535D" w:rsidRPr="00AE6656">
        <w:rPr>
          <w:lang w:val="de-DE"/>
        </w:rPr>
        <w:t xml:space="preserve"> (</w:t>
      </w:r>
      <w:hyperlink r:id="rId13" w:history="1">
        <w:r w:rsidR="001F535D" w:rsidRPr="00AE6656">
          <w:rPr>
            <w:rStyle w:val="Hyperlink"/>
            <w:lang w:val="de-DE"/>
          </w:rPr>
          <w:t>weblink</w:t>
        </w:r>
      </w:hyperlink>
      <w:r w:rsidR="001F535D" w:rsidRPr="00AE6656">
        <w:rPr>
          <w:lang w:val="de-DE"/>
        </w:rPr>
        <w:t>)</w:t>
      </w:r>
      <w:r w:rsidR="00302745" w:rsidRPr="00AE6656">
        <w:rPr>
          <w:lang w:val="de-DE"/>
        </w:rPr>
        <w:t xml:space="preserve">. </w:t>
      </w:r>
      <w:r w:rsidR="001D3903" w:rsidRPr="00AE6656">
        <w:rPr>
          <w:lang w:val="de-DE"/>
        </w:rPr>
        <w:t xml:space="preserve">Case </w:t>
      </w:r>
      <w:r w:rsidR="00901FF1" w:rsidRPr="00AE6656">
        <w:rPr>
          <w:lang w:val="de-DE"/>
        </w:rPr>
        <w:t>C</w:t>
      </w:r>
      <w:r w:rsidR="00901FF1" w:rsidRPr="00AE6656">
        <w:rPr>
          <w:rFonts w:ascii="Cambria Math" w:hAnsi="Cambria Math" w:cs="Cambria Math"/>
          <w:lang w:val="de-DE"/>
        </w:rPr>
        <w:t>‑</w:t>
      </w:r>
      <w:r w:rsidR="00901FF1" w:rsidRPr="00AE6656">
        <w:rPr>
          <w:lang w:val="de-DE"/>
        </w:rPr>
        <w:t>667/21</w:t>
      </w:r>
      <w:r w:rsidR="009330DA" w:rsidRPr="00AE6656">
        <w:rPr>
          <w:lang w:val="de-DE"/>
        </w:rPr>
        <w:t xml:space="preserve"> ZQ v. Medizinischer Dienst der Krankenversicherung Nordrhein, Körperschaft des öffentlichen Rechts</w:t>
      </w:r>
      <w:r w:rsidR="00901FF1" w:rsidRPr="00AE6656">
        <w:rPr>
          <w:lang w:val="de-DE"/>
        </w:rPr>
        <w:t>,</w:t>
      </w:r>
      <w:r w:rsidR="00056F74" w:rsidRPr="00AE6656">
        <w:rPr>
          <w:lang w:val="de-DE"/>
        </w:rPr>
        <w:t xml:space="preserve"> paragraphs </w:t>
      </w:r>
      <w:r w:rsidR="007C175A" w:rsidRPr="00AE6656">
        <w:rPr>
          <w:lang w:val="de-DE"/>
        </w:rPr>
        <w:t xml:space="preserve">110, 111, </w:t>
      </w:r>
      <w:r w:rsidR="00056F74" w:rsidRPr="00AE6656">
        <w:rPr>
          <w:lang w:val="de-DE"/>
        </w:rPr>
        <w:t>118</w:t>
      </w:r>
      <w:r w:rsidR="00EC089E" w:rsidRPr="00AE6656">
        <w:rPr>
          <w:lang w:val="de-DE"/>
        </w:rPr>
        <w:t xml:space="preserve"> (</w:t>
      </w:r>
      <w:hyperlink r:id="rId14" w:history="1">
        <w:r w:rsidR="00EC089E" w:rsidRPr="00AE6656">
          <w:rPr>
            <w:rStyle w:val="Hyperlink"/>
            <w:lang w:val="de-DE"/>
          </w:rPr>
          <w:t>weblink</w:t>
        </w:r>
      </w:hyperlink>
      <w:r w:rsidR="00EC089E" w:rsidRPr="00AE6656">
        <w:rPr>
          <w:lang w:val="de-DE"/>
        </w:rPr>
        <w:t>)</w:t>
      </w:r>
      <w:r w:rsidR="00056F74" w:rsidRPr="00AE6656">
        <w:rPr>
          <w:lang w:val="de-DE"/>
        </w:rPr>
        <w:t xml:space="preserve">. </w:t>
      </w:r>
      <w:r w:rsidR="00D85586" w:rsidRPr="00AE6656">
        <w:rPr>
          <w:lang w:val="de-DE"/>
        </w:rPr>
        <w:t>Case C</w:t>
      </w:r>
      <w:r w:rsidR="00D85586" w:rsidRPr="00AE6656">
        <w:rPr>
          <w:rFonts w:ascii="Cambria Math" w:hAnsi="Cambria Math" w:cs="Cambria Math"/>
          <w:lang w:val="de-DE"/>
        </w:rPr>
        <w:t>‑</w:t>
      </w:r>
      <w:r w:rsidR="00D85586" w:rsidRPr="00AE6656">
        <w:rPr>
          <w:lang w:val="de-DE"/>
        </w:rPr>
        <w:t xml:space="preserve">687/21 </w:t>
      </w:r>
      <w:r w:rsidR="00256088" w:rsidRPr="00AE6656">
        <w:rPr>
          <w:lang w:val="de-DE"/>
        </w:rPr>
        <w:t>BL v. MediaMarktSaturn Hagen-Iserlohn GmbH, paragraph</w:t>
      </w:r>
      <w:r w:rsidR="00354549" w:rsidRPr="00AE6656">
        <w:rPr>
          <w:lang w:val="de-DE"/>
        </w:rPr>
        <w:t>s 67 to 69 (</w:t>
      </w:r>
      <w:hyperlink r:id="rId15" w:history="1">
        <w:r w:rsidR="00354549" w:rsidRPr="00AE6656">
          <w:rPr>
            <w:rStyle w:val="Hyperlink"/>
            <w:lang w:val="de-DE"/>
          </w:rPr>
          <w:t>weblink</w:t>
        </w:r>
      </w:hyperlink>
      <w:r w:rsidR="00354549" w:rsidRPr="00AE6656">
        <w:rPr>
          <w:lang w:val="de-DE"/>
        </w:rPr>
        <w:t>).</w:t>
      </w:r>
      <w:r w:rsidR="00256088" w:rsidRPr="00AE6656">
        <w:rPr>
          <w:lang w:val="de-DE"/>
        </w:rPr>
        <w:t xml:space="preserve"> </w:t>
      </w:r>
    </w:p>
  </w:footnote>
  <w:footnote w:id="16">
    <w:p w14:paraId="56FE40B6" w14:textId="60E63067" w:rsidR="00074306" w:rsidRPr="00FC201D" w:rsidRDefault="00074306" w:rsidP="00EE1B65">
      <w:pPr>
        <w:pStyle w:val="FootnoteText"/>
        <w:jc w:val="both"/>
      </w:pPr>
      <w:r w:rsidRPr="00FC201D">
        <w:rPr>
          <w:rStyle w:val="FootnoteReference"/>
        </w:rPr>
        <w:footnoteRef/>
      </w:r>
      <w:r w:rsidRPr="00AE6656">
        <w:rPr>
          <w:lang w:val="de-DE"/>
        </w:rPr>
        <w:t xml:space="preserve"> </w:t>
      </w:r>
      <w:r w:rsidR="00901FF1" w:rsidRPr="00AE6656">
        <w:rPr>
          <w:lang w:val="de-DE"/>
        </w:rPr>
        <w:t>Case C</w:t>
      </w:r>
      <w:r w:rsidR="00901FF1" w:rsidRPr="00AE6656">
        <w:rPr>
          <w:rFonts w:ascii="Cambria Math" w:hAnsi="Cambria Math" w:cs="Cambria Math"/>
          <w:lang w:val="de-DE"/>
        </w:rPr>
        <w:t>‑</w:t>
      </w:r>
      <w:r w:rsidR="00901FF1" w:rsidRPr="00AE6656">
        <w:rPr>
          <w:lang w:val="de-DE"/>
        </w:rPr>
        <w:t>300/21 UI v. Österreichische Post AG, paragraphs 42 and 58 (</w:t>
      </w:r>
      <w:hyperlink r:id="rId16" w:history="1">
        <w:r w:rsidR="00901FF1" w:rsidRPr="00AE6656">
          <w:rPr>
            <w:rStyle w:val="Hyperlink"/>
            <w:lang w:val="de-DE"/>
          </w:rPr>
          <w:t>weblink</w:t>
        </w:r>
      </w:hyperlink>
      <w:r w:rsidR="00901FF1" w:rsidRPr="00AE6656">
        <w:rPr>
          <w:lang w:val="de-DE"/>
        </w:rPr>
        <w:t xml:space="preserve">). </w:t>
      </w:r>
      <w:r w:rsidR="00901FF1" w:rsidRPr="00FC201D">
        <w:t>See also Opinion of Advocate General Campos Sanchez-Bordona, paragraphs 39, 49, 52</w:t>
      </w:r>
      <w:r w:rsidR="00CD1D75" w:rsidRPr="00FC201D">
        <w:t xml:space="preserve"> (</w:t>
      </w:r>
      <w:hyperlink r:id="rId17" w:history="1">
        <w:r w:rsidR="00CD1D75" w:rsidRPr="00FC201D">
          <w:rPr>
            <w:rStyle w:val="Hyperlink"/>
          </w:rPr>
          <w:t>weblink</w:t>
        </w:r>
      </w:hyperlink>
      <w:r w:rsidR="00CD1D75" w:rsidRPr="00FC201D">
        <w:t>)</w:t>
      </w:r>
      <w:r w:rsidR="00901FF1" w:rsidRPr="00FC201D">
        <w:t>.</w:t>
      </w:r>
      <w:r w:rsidR="006B7E46" w:rsidRPr="00FC201D">
        <w:t xml:space="preserve"> </w:t>
      </w:r>
      <w:r w:rsidR="00CD1D75" w:rsidRPr="00FC201D">
        <w:t xml:space="preserve">Case </w:t>
      </w:r>
      <w:r w:rsidR="006B7E46" w:rsidRPr="00FC201D">
        <w:t>C</w:t>
      </w:r>
      <w:r w:rsidR="006B7E46" w:rsidRPr="00FC201D">
        <w:rPr>
          <w:rFonts w:ascii="Cambria Math" w:hAnsi="Cambria Math" w:cs="Cambria Math"/>
        </w:rPr>
        <w:t>‑</w:t>
      </w:r>
      <w:r w:rsidR="006B7E46" w:rsidRPr="00FC201D">
        <w:t xml:space="preserve">456/22 </w:t>
      </w:r>
      <w:r w:rsidR="00513C92" w:rsidRPr="00FC201D">
        <w:t>VX v. AT</w:t>
      </w:r>
      <w:r w:rsidR="006B7E46" w:rsidRPr="00FC201D">
        <w:t>, paragraph</w:t>
      </w:r>
      <w:r w:rsidR="009D62FD" w:rsidRPr="00FC201D">
        <w:t>s 21 to</w:t>
      </w:r>
      <w:r w:rsidR="006B7E46" w:rsidRPr="00FC201D">
        <w:t xml:space="preserve"> 23</w:t>
      </w:r>
      <w:r w:rsidR="00CD1D75" w:rsidRPr="00FC201D">
        <w:t xml:space="preserve"> (</w:t>
      </w:r>
      <w:hyperlink r:id="rId18" w:history="1">
        <w:r w:rsidR="00CD1D75" w:rsidRPr="00FC201D">
          <w:rPr>
            <w:rStyle w:val="Hyperlink"/>
          </w:rPr>
          <w:t>weblink</w:t>
        </w:r>
      </w:hyperlink>
      <w:r w:rsidR="00CD1D75" w:rsidRPr="00FC201D">
        <w:t>)</w:t>
      </w:r>
      <w:r w:rsidR="006B7E46" w:rsidRPr="00FC201D">
        <w:t xml:space="preserve">. </w:t>
      </w:r>
    </w:p>
  </w:footnote>
  <w:footnote w:id="17">
    <w:p w14:paraId="37ACDAA4" w14:textId="6B5DE7EE" w:rsidR="00232CC6" w:rsidRPr="00FC201D" w:rsidRDefault="00232CC6" w:rsidP="00EE1B65">
      <w:pPr>
        <w:pStyle w:val="FootnoteText"/>
        <w:jc w:val="both"/>
      </w:pPr>
      <w:r w:rsidRPr="00FC201D">
        <w:rPr>
          <w:rStyle w:val="FootnoteReference"/>
        </w:rPr>
        <w:footnoteRef/>
      </w:r>
      <w:r w:rsidRPr="00FC201D">
        <w:t xml:space="preserve"> Case T</w:t>
      </w:r>
      <w:r w:rsidRPr="00FC201D">
        <w:rPr>
          <w:rFonts w:ascii="Cambria Math" w:hAnsi="Cambria Math" w:cs="Cambria Math"/>
        </w:rPr>
        <w:t>‑</w:t>
      </w:r>
      <w:r w:rsidRPr="00FC201D">
        <w:t>354/22</w:t>
      </w:r>
      <w:r w:rsidR="00A03808" w:rsidRPr="00FC201D">
        <w:t xml:space="preserve"> Thomas Bindl v. European Commission</w:t>
      </w:r>
      <w:r w:rsidRPr="00FC201D">
        <w:t xml:space="preserve"> </w:t>
      </w:r>
      <w:r w:rsidR="00F461CC" w:rsidRPr="00FC201D">
        <w:t>paragraphs 54, 196 to 198 (</w:t>
      </w:r>
      <w:hyperlink r:id="rId19" w:history="1">
        <w:r w:rsidR="00F461CC" w:rsidRPr="00FC201D">
          <w:rPr>
            <w:rStyle w:val="Hyperlink"/>
          </w:rPr>
          <w:t>weblink</w:t>
        </w:r>
      </w:hyperlink>
      <w:r w:rsidR="00F461CC" w:rsidRPr="00FC201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3A55" w14:textId="6D9AB6CD" w:rsidR="00895AB2" w:rsidRDefault="00895AB2" w:rsidP="008D1B04">
    <w:pPr>
      <w:jc w:val="right"/>
      <w:rPr>
        <w:rFonts w:ascii="Calibri Light" w:hAnsi="Calibri Light"/>
        <w:b/>
        <w:color w:val="0018A8"/>
        <w:sz w:val="44"/>
        <w:szCs w:val="44"/>
      </w:rPr>
    </w:pPr>
    <w:r w:rsidRPr="00736149">
      <w:rPr>
        <w:b/>
        <w:noProof/>
        <w:color w:val="0018A8"/>
        <w:sz w:val="44"/>
        <w:szCs w:val="44"/>
        <w:lang w:val="fr-FR" w:eastAsia="fr-FR"/>
      </w:rPr>
      <w:drawing>
        <wp:anchor distT="0" distB="0" distL="114300" distR="114300" simplePos="0" relativeHeight="251658242" behindDoc="0" locked="0" layoutInCell="1" allowOverlap="1" wp14:anchorId="1F2F9F0A" wp14:editId="57A4E3B5">
          <wp:simplePos x="0" y="0"/>
          <wp:positionH relativeFrom="column">
            <wp:posOffset>-272415</wp:posOffset>
          </wp:positionH>
          <wp:positionV relativeFrom="paragraph">
            <wp:posOffset>-145415</wp:posOffset>
          </wp:positionV>
          <wp:extent cx="2105025" cy="701202"/>
          <wp:effectExtent l="0" t="0" r="0" b="0"/>
          <wp:wrapNone/>
          <wp:docPr id="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1"/>
                  <pic:cNvPicPr>
                    <a:picLocks noChangeAspect="1" noChangeArrowheads="1"/>
                  </pic:cNvPicPr>
                </pic:nvPicPr>
                <pic:blipFill>
                  <a:blip r:embed="rId1"/>
                  <a:stretch>
                    <a:fillRect/>
                  </a:stretch>
                </pic:blipFill>
                <pic:spPr bwMode="auto">
                  <a:xfrm>
                    <a:off x="0" y="0"/>
                    <a:ext cx="2105025" cy="701202"/>
                  </a:xfrm>
                  <a:prstGeom prst="rect">
                    <a:avLst/>
                  </a:prstGeom>
                  <a:noFill/>
                  <a:ln>
                    <a:noFill/>
                  </a:ln>
                </pic:spPr>
              </pic:pic>
            </a:graphicData>
          </a:graphic>
          <wp14:sizeRelH relativeFrom="page">
            <wp14:pctWidth>0</wp14:pctWidth>
          </wp14:sizeRelH>
          <wp14:sizeRelV relativeFrom="page">
            <wp14:pctHeight>0</wp14:pctHeight>
          </wp14:sizeRelV>
        </wp:anchor>
      </w:drawing>
    </w:r>
    <w:r w:rsidR="00553D45">
      <w:rPr>
        <w:rFonts w:ascii="Calibri Light" w:hAnsi="Calibri Light"/>
        <w:b/>
        <w:bCs/>
        <w:color w:val="0018A8"/>
        <w:sz w:val="44"/>
        <w:szCs w:val="44"/>
      </w:rPr>
      <w:t>Feedback</w:t>
    </w:r>
    <w:r w:rsidR="00CD1955">
      <w:rPr>
        <w:rFonts w:ascii="Calibri Light" w:hAnsi="Calibri Light"/>
        <w:b/>
        <w:bCs/>
        <w:color w:val="0018A8"/>
        <w:sz w:val="44"/>
        <w:szCs w:val="44"/>
      </w:rPr>
      <w:t xml:space="preserve"> </w:t>
    </w:r>
    <w:sdt>
      <w:sdtPr>
        <w:rPr>
          <w:rFonts w:ascii="Calibri Light" w:hAnsi="Calibri Light"/>
          <w:b/>
          <w:bCs/>
          <w:color w:val="0018A8"/>
          <w:sz w:val="44"/>
          <w:szCs w:val="44"/>
        </w:rPr>
        <w:id w:val="-492020242"/>
        <w:docPartObj>
          <w:docPartGallery w:val="Page Numbers (Margins)"/>
          <w:docPartUnique/>
        </w:docPartObj>
      </w:sdtPr>
      <w:sdtEndPr/>
      <w:sdtContent>
        <w:r w:rsidRPr="00B4318E">
          <w:rPr>
            <w:rFonts w:ascii="Calibri Light" w:hAnsi="Calibri Light"/>
            <w:b/>
            <w:noProof/>
            <w:color w:val="0018A8"/>
            <w:sz w:val="44"/>
            <w:szCs w:val="44"/>
            <w:lang w:val="fr-FR" w:eastAsia="fr-FR"/>
          </w:rPr>
          <mc:AlternateContent>
            <mc:Choice Requires="wps">
              <w:drawing>
                <wp:anchor distT="0" distB="0" distL="114300" distR="114300" simplePos="0" relativeHeight="251658240" behindDoc="0" locked="0" layoutInCell="0" allowOverlap="1" wp14:anchorId="6E1DD88B" wp14:editId="0A093B2B">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735C3D14" w14:textId="5ADF840F" w:rsidR="00895AB2" w:rsidRDefault="00895AB2">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Page </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896D8F">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1DD88B" id="Rectangle 1" o:spid="_x0000_s1026" style="position:absolute;left:0;text-align:left;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35C3D14" w14:textId="5ADF840F" w:rsidR="00895AB2" w:rsidRDefault="00895AB2">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Page </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896D8F">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p w14:paraId="71009D2D" w14:textId="70C5F7FE" w:rsidR="00895AB2" w:rsidRPr="0029291D" w:rsidRDefault="00895AB2" w:rsidP="003C022C">
    <w:pPr>
      <w:jc w:val="right"/>
      <w:rPr>
        <w:b/>
        <w:color w:val="009FE3"/>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E38"/>
    <w:multiLevelType w:val="hybridMultilevel"/>
    <w:tmpl w:val="A5FE9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2264B"/>
    <w:multiLevelType w:val="multilevel"/>
    <w:tmpl w:val="82C0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A3006"/>
    <w:multiLevelType w:val="hybridMultilevel"/>
    <w:tmpl w:val="38821E6C"/>
    <w:lvl w:ilvl="0" w:tplc="6A1662BC">
      <w:start w:val="1"/>
      <w:numFmt w:val="decimal"/>
      <w:lvlText w:val="%1."/>
      <w:lvlJc w:val="left"/>
      <w:pPr>
        <w:ind w:left="885" w:hanging="360"/>
      </w:pPr>
      <w:rPr>
        <w:rFonts w:ascii="Trebuchet MS" w:eastAsia="Trebuchet MS" w:hAnsi="Trebuchet MS" w:cs="Trebuchet MS" w:hint="default"/>
        <w:b/>
        <w:bCs/>
        <w:i w:val="0"/>
        <w:iCs w:val="0"/>
        <w:color w:val="001F5F"/>
        <w:spacing w:val="-1"/>
        <w:w w:val="87"/>
        <w:sz w:val="22"/>
        <w:szCs w:val="22"/>
        <w:lang w:val="en-US" w:eastAsia="en-US" w:bidi="ar-SA"/>
      </w:rPr>
    </w:lvl>
    <w:lvl w:ilvl="1" w:tplc="501CD9E2">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2" w:tplc="49442E44">
      <w:numFmt w:val="bullet"/>
      <w:lvlText w:val="•"/>
      <w:lvlJc w:val="left"/>
      <w:pPr>
        <w:ind w:left="2546" w:hanging="360"/>
      </w:pPr>
      <w:rPr>
        <w:rFonts w:hint="default"/>
        <w:lang w:val="en-US" w:eastAsia="en-US" w:bidi="ar-SA"/>
      </w:rPr>
    </w:lvl>
    <w:lvl w:ilvl="3" w:tplc="623AA838">
      <w:numFmt w:val="bullet"/>
      <w:lvlText w:val="•"/>
      <w:lvlJc w:val="left"/>
      <w:pPr>
        <w:ind w:left="3380" w:hanging="360"/>
      </w:pPr>
      <w:rPr>
        <w:rFonts w:hint="default"/>
        <w:lang w:val="en-US" w:eastAsia="en-US" w:bidi="ar-SA"/>
      </w:rPr>
    </w:lvl>
    <w:lvl w:ilvl="4" w:tplc="D576A14E">
      <w:numFmt w:val="bullet"/>
      <w:lvlText w:val="•"/>
      <w:lvlJc w:val="left"/>
      <w:pPr>
        <w:ind w:left="4213" w:hanging="360"/>
      </w:pPr>
      <w:rPr>
        <w:rFonts w:hint="default"/>
        <w:lang w:val="en-US" w:eastAsia="en-US" w:bidi="ar-SA"/>
      </w:rPr>
    </w:lvl>
    <w:lvl w:ilvl="5" w:tplc="97E47AF6">
      <w:numFmt w:val="bullet"/>
      <w:lvlText w:val="•"/>
      <w:lvlJc w:val="left"/>
      <w:pPr>
        <w:ind w:left="5047" w:hanging="360"/>
      </w:pPr>
      <w:rPr>
        <w:rFonts w:hint="default"/>
        <w:lang w:val="en-US" w:eastAsia="en-US" w:bidi="ar-SA"/>
      </w:rPr>
    </w:lvl>
    <w:lvl w:ilvl="6" w:tplc="8ADA5EB6">
      <w:numFmt w:val="bullet"/>
      <w:lvlText w:val="•"/>
      <w:lvlJc w:val="left"/>
      <w:pPr>
        <w:ind w:left="5880" w:hanging="360"/>
      </w:pPr>
      <w:rPr>
        <w:rFonts w:hint="default"/>
        <w:lang w:val="en-US" w:eastAsia="en-US" w:bidi="ar-SA"/>
      </w:rPr>
    </w:lvl>
    <w:lvl w:ilvl="7" w:tplc="F24AA57A">
      <w:numFmt w:val="bullet"/>
      <w:lvlText w:val="•"/>
      <w:lvlJc w:val="left"/>
      <w:pPr>
        <w:ind w:left="6714" w:hanging="360"/>
      </w:pPr>
      <w:rPr>
        <w:rFonts w:hint="default"/>
        <w:lang w:val="en-US" w:eastAsia="en-US" w:bidi="ar-SA"/>
      </w:rPr>
    </w:lvl>
    <w:lvl w:ilvl="8" w:tplc="E480A9F4">
      <w:numFmt w:val="bullet"/>
      <w:lvlText w:val="•"/>
      <w:lvlJc w:val="left"/>
      <w:pPr>
        <w:ind w:left="7547" w:hanging="360"/>
      </w:pPr>
      <w:rPr>
        <w:rFonts w:hint="default"/>
        <w:lang w:val="en-US" w:eastAsia="en-US" w:bidi="ar-SA"/>
      </w:rPr>
    </w:lvl>
  </w:abstractNum>
  <w:abstractNum w:abstractNumId="3" w15:restartNumberingAfterBreak="0">
    <w:nsid w:val="0FC40E5A"/>
    <w:multiLevelType w:val="hybridMultilevel"/>
    <w:tmpl w:val="676E68B2"/>
    <w:lvl w:ilvl="0" w:tplc="0804FCEE">
      <w:start w:val="1"/>
      <w:numFmt w:val="decimal"/>
      <w:lvlText w:val="%1."/>
      <w:lvlJc w:val="left"/>
      <w:pPr>
        <w:ind w:left="393" w:hanging="229"/>
      </w:pPr>
      <w:rPr>
        <w:rFonts w:ascii="Trebuchet MS" w:eastAsia="Trebuchet MS" w:hAnsi="Trebuchet MS" w:cs="Trebuchet MS" w:hint="default"/>
        <w:b/>
        <w:bCs/>
        <w:i w:val="0"/>
        <w:iCs w:val="0"/>
        <w:color w:val="001F5F"/>
        <w:spacing w:val="0"/>
        <w:w w:val="87"/>
        <w:sz w:val="22"/>
        <w:szCs w:val="22"/>
        <w:lang w:val="en-US" w:eastAsia="en-US" w:bidi="ar-SA"/>
      </w:rPr>
    </w:lvl>
    <w:lvl w:ilvl="1" w:tplc="01EE83B4">
      <w:numFmt w:val="bullet"/>
      <w:lvlText w:val=""/>
      <w:lvlJc w:val="left"/>
      <w:pPr>
        <w:ind w:left="448" w:hanging="360"/>
      </w:pPr>
      <w:rPr>
        <w:rFonts w:ascii="Symbol" w:eastAsia="Symbol" w:hAnsi="Symbol" w:cs="Symbol" w:hint="default"/>
        <w:spacing w:val="0"/>
        <w:w w:val="100"/>
        <w:lang w:val="en-US" w:eastAsia="en-US" w:bidi="ar-SA"/>
      </w:rPr>
    </w:lvl>
    <w:lvl w:ilvl="2" w:tplc="082CC18A">
      <w:numFmt w:val="bullet"/>
      <w:lvlText w:val="•"/>
      <w:lvlJc w:val="left"/>
      <w:pPr>
        <w:ind w:left="880" w:hanging="360"/>
      </w:pPr>
      <w:rPr>
        <w:rFonts w:hint="default"/>
        <w:lang w:val="en-US" w:eastAsia="en-US" w:bidi="ar-SA"/>
      </w:rPr>
    </w:lvl>
    <w:lvl w:ilvl="3" w:tplc="7A9E9168">
      <w:numFmt w:val="bullet"/>
      <w:lvlText w:val="•"/>
      <w:lvlJc w:val="left"/>
      <w:pPr>
        <w:ind w:left="1921" w:hanging="360"/>
      </w:pPr>
      <w:rPr>
        <w:rFonts w:hint="default"/>
        <w:lang w:val="en-US" w:eastAsia="en-US" w:bidi="ar-SA"/>
      </w:rPr>
    </w:lvl>
    <w:lvl w:ilvl="4" w:tplc="EC6A5D28">
      <w:numFmt w:val="bullet"/>
      <w:lvlText w:val="•"/>
      <w:lvlJc w:val="left"/>
      <w:pPr>
        <w:ind w:left="2963" w:hanging="360"/>
      </w:pPr>
      <w:rPr>
        <w:rFonts w:hint="default"/>
        <w:lang w:val="en-US" w:eastAsia="en-US" w:bidi="ar-SA"/>
      </w:rPr>
    </w:lvl>
    <w:lvl w:ilvl="5" w:tplc="4C1086C6">
      <w:numFmt w:val="bullet"/>
      <w:lvlText w:val="•"/>
      <w:lvlJc w:val="left"/>
      <w:pPr>
        <w:ind w:left="4005" w:hanging="360"/>
      </w:pPr>
      <w:rPr>
        <w:rFonts w:hint="default"/>
        <w:lang w:val="en-US" w:eastAsia="en-US" w:bidi="ar-SA"/>
      </w:rPr>
    </w:lvl>
    <w:lvl w:ilvl="6" w:tplc="BBE6ED88">
      <w:numFmt w:val="bullet"/>
      <w:lvlText w:val="•"/>
      <w:lvlJc w:val="left"/>
      <w:pPr>
        <w:ind w:left="5047" w:hanging="360"/>
      </w:pPr>
      <w:rPr>
        <w:rFonts w:hint="default"/>
        <w:lang w:val="en-US" w:eastAsia="en-US" w:bidi="ar-SA"/>
      </w:rPr>
    </w:lvl>
    <w:lvl w:ilvl="7" w:tplc="0358ACB2">
      <w:numFmt w:val="bullet"/>
      <w:lvlText w:val="•"/>
      <w:lvlJc w:val="left"/>
      <w:pPr>
        <w:ind w:left="6089" w:hanging="360"/>
      </w:pPr>
      <w:rPr>
        <w:rFonts w:hint="default"/>
        <w:lang w:val="en-US" w:eastAsia="en-US" w:bidi="ar-SA"/>
      </w:rPr>
    </w:lvl>
    <w:lvl w:ilvl="8" w:tplc="C38455DA">
      <w:numFmt w:val="bullet"/>
      <w:lvlText w:val="•"/>
      <w:lvlJc w:val="left"/>
      <w:pPr>
        <w:ind w:left="7130" w:hanging="360"/>
      </w:pPr>
      <w:rPr>
        <w:rFonts w:hint="default"/>
        <w:lang w:val="en-US" w:eastAsia="en-US" w:bidi="ar-SA"/>
      </w:rPr>
    </w:lvl>
  </w:abstractNum>
  <w:abstractNum w:abstractNumId="4" w15:restartNumberingAfterBreak="0">
    <w:nsid w:val="101933DF"/>
    <w:multiLevelType w:val="hybridMultilevel"/>
    <w:tmpl w:val="566A85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1687AC5"/>
    <w:multiLevelType w:val="multilevel"/>
    <w:tmpl w:val="42E81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D00E2"/>
    <w:multiLevelType w:val="hybridMultilevel"/>
    <w:tmpl w:val="18001E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3522D5"/>
    <w:multiLevelType w:val="hybridMultilevel"/>
    <w:tmpl w:val="ECEA4DB0"/>
    <w:lvl w:ilvl="0" w:tplc="DF66D4F4">
      <w:start w:val="1"/>
      <w:numFmt w:val="decimal"/>
      <w:lvlText w:val="%1."/>
      <w:lvlJc w:val="left"/>
      <w:pPr>
        <w:ind w:left="885" w:hanging="360"/>
      </w:pPr>
      <w:rPr>
        <w:rFonts w:ascii="Trebuchet MS" w:eastAsia="Trebuchet MS" w:hAnsi="Trebuchet MS" w:cs="Trebuchet MS" w:hint="default"/>
        <w:b w:val="0"/>
        <w:bCs w:val="0"/>
        <w:i w:val="0"/>
        <w:iCs w:val="0"/>
        <w:spacing w:val="-1"/>
        <w:w w:val="92"/>
        <w:sz w:val="22"/>
        <w:szCs w:val="22"/>
        <w:lang w:val="en-US" w:eastAsia="en-US" w:bidi="ar-SA"/>
      </w:rPr>
    </w:lvl>
    <w:lvl w:ilvl="1" w:tplc="4A46D0B0">
      <w:numFmt w:val="bullet"/>
      <w:lvlText w:val="•"/>
      <w:lvlJc w:val="left"/>
      <w:pPr>
        <w:ind w:left="1713" w:hanging="360"/>
      </w:pPr>
      <w:rPr>
        <w:rFonts w:hint="default"/>
        <w:lang w:val="en-US" w:eastAsia="en-US" w:bidi="ar-SA"/>
      </w:rPr>
    </w:lvl>
    <w:lvl w:ilvl="2" w:tplc="7D12A1B0">
      <w:numFmt w:val="bullet"/>
      <w:lvlText w:val="•"/>
      <w:lvlJc w:val="left"/>
      <w:pPr>
        <w:ind w:left="2546" w:hanging="360"/>
      </w:pPr>
      <w:rPr>
        <w:rFonts w:hint="default"/>
        <w:lang w:val="en-US" w:eastAsia="en-US" w:bidi="ar-SA"/>
      </w:rPr>
    </w:lvl>
    <w:lvl w:ilvl="3" w:tplc="5DC831F2">
      <w:numFmt w:val="bullet"/>
      <w:lvlText w:val="•"/>
      <w:lvlJc w:val="left"/>
      <w:pPr>
        <w:ind w:left="3380" w:hanging="360"/>
      </w:pPr>
      <w:rPr>
        <w:rFonts w:hint="default"/>
        <w:lang w:val="en-US" w:eastAsia="en-US" w:bidi="ar-SA"/>
      </w:rPr>
    </w:lvl>
    <w:lvl w:ilvl="4" w:tplc="56DE125C">
      <w:numFmt w:val="bullet"/>
      <w:lvlText w:val="•"/>
      <w:lvlJc w:val="left"/>
      <w:pPr>
        <w:ind w:left="4213" w:hanging="360"/>
      </w:pPr>
      <w:rPr>
        <w:rFonts w:hint="default"/>
        <w:lang w:val="en-US" w:eastAsia="en-US" w:bidi="ar-SA"/>
      </w:rPr>
    </w:lvl>
    <w:lvl w:ilvl="5" w:tplc="C71614F4">
      <w:numFmt w:val="bullet"/>
      <w:lvlText w:val="•"/>
      <w:lvlJc w:val="left"/>
      <w:pPr>
        <w:ind w:left="5047" w:hanging="360"/>
      </w:pPr>
      <w:rPr>
        <w:rFonts w:hint="default"/>
        <w:lang w:val="en-US" w:eastAsia="en-US" w:bidi="ar-SA"/>
      </w:rPr>
    </w:lvl>
    <w:lvl w:ilvl="6" w:tplc="16807730">
      <w:numFmt w:val="bullet"/>
      <w:lvlText w:val="•"/>
      <w:lvlJc w:val="left"/>
      <w:pPr>
        <w:ind w:left="5880" w:hanging="360"/>
      </w:pPr>
      <w:rPr>
        <w:rFonts w:hint="default"/>
        <w:lang w:val="en-US" w:eastAsia="en-US" w:bidi="ar-SA"/>
      </w:rPr>
    </w:lvl>
    <w:lvl w:ilvl="7" w:tplc="047C7B82">
      <w:numFmt w:val="bullet"/>
      <w:lvlText w:val="•"/>
      <w:lvlJc w:val="left"/>
      <w:pPr>
        <w:ind w:left="6714" w:hanging="360"/>
      </w:pPr>
      <w:rPr>
        <w:rFonts w:hint="default"/>
        <w:lang w:val="en-US" w:eastAsia="en-US" w:bidi="ar-SA"/>
      </w:rPr>
    </w:lvl>
    <w:lvl w:ilvl="8" w:tplc="A956CF52">
      <w:numFmt w:val="bullet"/>
      <w:lvlText w:val="•"/>
      <w:lvlJc w:val="left"/>
      <w:pPr>
        <w:ind w:left="7547" w:hanging="360"/>
      </w:pPr>
      <w:rPr>
        <w:rFonts w:hint="default"/>
        <w:lang w:val="en-US" w:eastAsia="en-US" w:bidi="ar-SA"/>
      </w:rPr>
    </w:lvl>
  </w:abstractNum>
  <w:abstractNum w:abstractNumId="8" w15:restartNumberingAfterBreak="0">
    <w:nsid w:val="1F1A6B50"/>
    <w:multiLevelType w:val="hybridMultilevel"/>
    <w:tmpl w:val="6380843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620D78"/>
    <w:multiLevelType w:val="hybridMultilevel"/>
    <w:tmpl w:val="E90CF6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1AE3B8A"/>
    <w:multiLevelType w:val="hybridMultilevel"/>
    <w:tmpl w:val="630C59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220D2A"/>
    <w:multiLevelType w:val="hybridMultilevel"/>
    <w:tmpl w:val="856AC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8434F90"/>
    <w:multiLevelType w:val="hybridMultilevel"/>
    <w:tmpl w:val="8F7E5C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2EE145C"/>
    <w:multiLevelType w:val="hybridMultilevel"/>
    <w:tmpl w:val="6C36EE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3D6972"/>
    <w:multiLevelType w:val="hybridMultilevel"/>
    <w:tmpl w:val="FC060CD8"/>
    <w:lvl w:ilvl="0" w:tplc="FFFFFFFF">
      <w:start w:val="1"/>
      <w:numFmt w:val="bullet"/>
      <w:lvlText w:val="•"/>
      <w:lvlJc w:val="left"/>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6ED70D1"/>
    <w:multiLevelType w:val="hybridMultilevel"/>
    <w:tmpl w:val="A5FE9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A72B3"/>
    <w:multiLevelType w:val="hybridMultilevel"/>
    <w:tmpl w:val="A5FE9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094D66"/>
    <w:multiLevelType w:val="hybridMultilevel"/>
    <w:tmpl w:val="852090B4"/>
    <w:lvl w:ilvl="0" w:tplc="67467C3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55E6806"/>
    <w:multiLevelType w:val="hybridMultilevel"/>
    <w:tmpl w:val="062AEE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797377A"/>
    <w:multiLevelType w:val="hybridMultilevel"/>
    <w:tmpl w:val="272E8E20"/>
    <w:lvl w:ilvl="0" w:tplc="FFFFFFFF">
      <w:start w:val="1"/>
      <w:numFmt w:val="bullet"/>
      <w:lvlText w:val="•"/>
      <w:lvlJc w:val="left"/>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88600BE"/>
    <w:multiLevelType w:val="hybridMultilevel"/>
    <w:tmpl w:val="73D070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1D92650"/>
    <w:multiLevelType w:val="hybridMultilevel"/>
    <w:tmpl w:val="E9FADF00"/>
    <w:lvl w:ilvl="0" w:tplc="8D6A7D2A">
      <w:numFmt w:val="bullet"/>
      <w:lvlText w:val="•"/>
      <w:lvlJc w:val="left"/>
      <w:pPr>
        <w:ind w:left="448" w:hanging="284"/>
      </w:pPr>
      <w:rPr>
        <w:rFonts w:ascii="Trebuchet MS" w:eastAsia="Trebuchet MS" w:hAnsi="Trebuchet MS" w:cs="Trebuchet MS" w:hint="default"/>
        <w:b w:val="0"/>
        <w:bCs w:val="0"/>
        <w:i w:val="0"/>
        <w:iCs w:val="0"/>
        <w:spacing w:val="0"/>
        <w:w w:val="89"/>
        <w:sz w:val="22"/>
        <w:szCs w:val="22"/>
        <w:lang w:val="en-US" w:eastAsia="en-US" w:bidi="ar-SA"/>
      </w:rPr>
    </w:lvl>
    <w:lvl w:ilvl="1" w:tplc="1F7067C2">
      <w:numFmt w:val="bullet"/>
      <w:lvlText w:val="•"/>
      <w:lvlJc w:val="left"/>
      <w:pPr>
        <w:ind w:left="1317" w:hanging="284"/>
      </w:pPr>
      <w:rPr>
        <w:rFonts w:hint="default"/>
        <w:lang w:val="en-US" w:eastAsia="en-US" w:bidi="ar-SA"/>
      </w:rPr>
    </w:lvl>
    <w:lvl w:ilvl="2" w:tplc="D7BE4D76">
      <w:numFmt w:val="bullet"/>
      <w:lvlText w:val="•"/>
      <w:lvlJc w:val="left"/>
      <w:pPr>
        <w:ind w:left="2194" w:hanging="284"/>
      </w:pPr>
      <w:rPr>
        <w:rFonts w:hint="default"/>
        <w:lang w:val="en-US" w:eastAsia="en-US" w:bidi="ar-SA"/>
      </w:rPr>
    </w:lvl>
    <w:lvl w:ilvl="3" w:tplc="2318A0BC">
      <w:numFmt w:val="bullet"/>
      <w:lvlText w:val="•"/>
      <w:lvlJc w:val="left"/>
      <w:pPr>
        <w:ind w:left="3072" w:hanging="284"/>
      </w:pPr>
      <w:rPr>
        <w:rFonts w:hint="default"/>
        <w:lang w:val="en-US" w:eastAsia="en-US" w:bidi="ar-SA"/>
      </w:rPr>
    </w:lvl>
    <w:lvl w:ilvl="4" w:tplc="C7800640">
      <w:numFmt w:val="bullet"/>
      <w:lvlText w:val="•"/>
      <w:lvlJc w:val="left"/>
      <w:pPr>
        <w:ind w:left="3949" w:hanging="284"/>
      </w:pPr>
      <w:rPr>
        <w:rFonts w:hint="default"/>
        <w:lang w:val="en-US" w:eastAsia="en-US" w:bidi="ar-SA"/>
      </w:rPr>
    </w:lvl>
    <w:lvl w:ilvl="5" w:tplc="20909B40">
      <w:numFmt w:val="bullet"/>
      <w:lvlText w:val="•"/>
      <w:lvlJc w:val="left"/>
      <w:pPr>
        <w:ind w:left="4827" w:hanging="284"/>
      </w:pPr>
      <w:rPr>
        <w:rFonts w:hint="default"/>
        <w:lang w:val="en-US" w:eastAsia="en-US" w:bidi="ar-SA"/>
      </w:rPr>
    </w:lvl>
    <w:lvl w:ilvl="6" w:tplc="96FA9434">
      <w:numFmt w:val="bullet"/>
      <w:lvlText w:val="•"/>
      <w:lvlJc w:val="left"/>
      <w:pPr>
        <w:ind w:left="5704" w:hanging="284"/>
      </w:pPr>
      <w:rPr>
        <w:rFonts w:hint="default"/>
        <w:lang w:val="en-US" w:eastAsia="en-US" w:bidi="ar-SA"/>
      </w:rPr>
    </w:lvl>
    <w:lvl w:ilvl="7" w:tplc="302AFFDC">
      <w:numFmt w:val="bullet"/>
      <w:lvlText w:val="•"/>
      <w:lvlJc w:val="left"/>
      <w:pPr>
        <w:ind w:left="6582" w:hanging="284"/>
      </w:pPr>
      <w:rPr>
        <w:rFonts w:hint="default"/>
        <w:lang w:val="en-US" w:eastAsia="en-US" w:bidi="ar-SA"/>
      </w:rPr>
    </w:lvl>
    <w:lvl w:ilvl="8" w:tplc="2DB0086E">
      <w:numFmt w:val="bullet"/>
      <w:lvlText w:val="•"/>
      <w:lvlJc w:val="left"/>
      <w:pPr>
        <w:ind w:left="7459" w:hanging="284"/>
      </w:pPr>
      <w:rPr>
        <w:rFonts w:hint="default"/>
        <w:lang w:val="en-US" w:eastAsia="en-US" w:bidi="ar-SA"/>
      </w:rPr>
    </w:lvl>
  </w:abstractNum>
  <w:abstractNum w:abstractNumId="22" w15:restartNumberingAfterBreak="0">
    <w:nsid w:val="539C5267"/>
    <w:multiLevelType w:val="hybridMultilevel"/>
    <w:tmpl w:val="F484F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FE7AB7"/>
    <w:multiLevelType w:val="hybridMultilevel"/>
    <w:tmpl w:val="13028856"/>
    <w:lvl w:ilvl="0" w:tplc="FFFFFFFF">
      <w:start w:val="1"/>
      <w:numFmt w:val="bullet"/>
      <w:lvlText w:val="•"/>
      <w:lvlJc w:val="left"/>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3F75352"/>
    <w:multiLevelType w:val="hybridMultilevel"/>
    <w:tmpl w:val="64125E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88160214">
    <w:abstractNumId w:val="1"/>
  </w:num>
  <w:num w:numId="2" w16cid:durableId="609046621">
    <w:abstractNumId w:val="5"/>
  </w:num>
  <w:num w:numId="3" w16cid:durableId="1021324134">
    <w:abstractNumId w:val="9"/>
  </w:num>
  <w:num w:numId="4" w16cid:durableId="909925004">
    <w:abstractNumId w:val="24"/>
  </w:num>
  <w:num w:numId="5" w16cid:durableId="690498673">
    <w:abstractNumId w:val="12"/>
  </w:num>
  <w:num w:numId="6" w16cid:durableId="231307770">
    <w:abstractNumId w:val="19"/>
  </w:num>
  <w:num w:numId="7" w16cid:durableId="572081098">
    <w:abstractNumId w:val="23"/>
  </w:num>
  <w:num w:numId="8" w16cid:durableId="1170292180">
    <w:abstractNumId w:val="14"/>
  </w:num>
  <w:num w:numId="9" w16cid:durableId="49230121">
    <w:abstractNumId w:val="17"/>
  </w:num>
  <w:num w:numId="10" w16cid:durableId="756093852">
    <w:abstractNumId w:val="22"/>
  </w:num>
  <w:num w:numId="11" w16cid:durableId="935792665">
    <w:abstractNumId w:val="21"/>
  </w:num>
  <w:num w:numId="12" w16cid:durableId="783040979">
    <w:abstractNumId w:val="2"/>
  </w:num>
  <w:num w:numId="13" w16cid:durableId="2006204158">
    <w:abstractNumId w:val="7"/>
  </w:num>
  <w:num w:numId="14" w16cid:durableId="1616477812">
    <w:abstractNumId w:val="3"/>
  </w:num>
  <w:num w:numId="15" w16cid:durableId="1341470500">
    <w:abstractNumId w:val="4"/>
  </w:num>
  <w:num w:numId="16" w16cid:durableId="1649284591">
    <w:abstractNumId w:val="11"/>
  </w:num>
  <w:num w:numId="17" w16cid:durableId="1989938298">
    <w:abstractNumId w:val="18"/>
  </w:num>
  <w:num w:numId="18" w16cid:durableId="322003736">
    <w:abstractNumId w:val="20"/>
  </w:num>
  <w:num w:numId="19" w16cid:durableId="340737435">
    <w:abstractNumId w:val="8"/>
  </w:num>
  <w:num w:numId="20" w16cid:durableId="1473791501">
    <w:abstractNumId w:val="6"/>
  </w:num>
  <w:num w:numId="21" w16cid:durableId="1743214718">
    <w:abstractNumId w:val="13"/>
  </w:num>
  <w:num w:numId="22" w16cid:durableId="1875339863">
    <w:abstractNumId w:val="10"/>
  </w:num>
  <w:num w:numId="23" w16cid:durableId="1960332303">
    <w:abstractNumId w:val="0"/>
  </w:num>
  <w:num w:numId="24" w16cid:durableId="95683730">
    <w:abstractNumId w:val="16"/>
  </w:num>
  <w:num w:numId="25" w16cid:durableId="149090266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dewich Van Alst">
    <w15:presenceInfo w15:providerId="AD" w15:userId="S::hvanalst@fedma.org::84c76440-5d38-4a94-a1e2-3664f3f1c744"/>
  </w15:person>
  <w15:person w15:author="Hadewich Van Als">
    <w15:presenceInfo w15:providerId="AD" w15:userId="S::hvanalst@fedma.org::84c76440-5d38-4a94-a1e2-3664f3f1c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B12"/>
    <w:rsid w:val="00005391"/>
    <w:rsid w:val="0000557B"/>
    <w:rsid w:val="00010E23"/>
    <w:rsid w:val="00010E76"/>
    <w:rsid w:val="00011E35"/>
    <w:rsid w:val="000128F9"/>
    <w:rsid w:val="0001320D"/>
    <w:rsid w:val="00013A95"/>
    <w:rsid w:val="00013D3E"/>
    <w:rsid w:val="0001450E"/>
    <w:rsid w:val="000146F3"/>
    <w:rsid w:val="0001541C"/>
    <w:rsid w:val="00017181"/>
    <w:rsid w:val="00017829"/>
    <w:rsid w:val="00020270"/>
    <w:rsid w:val="00022A21"/>
    <w:rsid w:val="0002314A"/>
    <w:rsid w:val="00025B78"/>
    <w:rsid w:val="00026648"/>
    <w:rsid w:val="00027140"/>
    <w:rsid w:val="000305F9"/>
    <w:rsid w:val="0003329E"/>
    <w:rsid w:val="00033425"/>
    <w:rsid w:val="00035C40"/>
    <w:rsid w:val="00036E47"/>
    <w:rsid w:val="00037C93"/>
    <w:rsid w:val="00037ED4"/>
    <w:rsid w:val="00040612"/>
    <w:rsid w:val="00040E33"/>
    <w:rsid w:val="00040EE4"/>
    <w:rsid w:val="00043CA3"/>
    <w:rsid w:val="000442AF"/>
    <w:rsid w:val="00045BA2"/>
    <w:rsid w:val="000464D5"/>
    <w:rsid w:val="00050D30"/>
    <w:rsid w:val="00051C1C"/>
    <w:rsid w:val="00052478"/>
    <w:rsid w:val="000538D7"/>
    <w:rsid w:val="000546DE"/>
    <w:rsid w:val="0005631D"/>
    <w:rsid w:val="00056795"/>
    <w:rsid w:val="00056F74"/>
    <w:rsid w:val="00062231"/>
    <w:rsid w:val="00062AF9"/>
    <w:rsid w:val="00063659"/>
    <w:rsid w:val="00064F4D"/>
    <w:rsid w:val="00066BB2"/>
    <w:rsid w:val="00070E33"/>
    <w:rsid w:val="00071C06"/>
    <w:rsid w:val="00072117"/>
    <w:rsid w:val="000740E6"/>
    <w:rsid w:val="00074306"/>
    <w:rsid w:val="00076026"/>
    <w:rsid w:val="000771D2"/>
    <w:rsid w:val="00080830"/>
    <w:rsid w:val="00080AA3"/>
    <w:rsid w:val="00081E20"/>
    <w:rsid w:val="000821CB"/>
    <w:rsid w:val="00082933"/>
    <w:rsid w:val="00084DC8"/>
    <w:rsid w:val="00085E6B"/>
    <w:rsid w:val="00086144"/>
    <w:rsid w:val="000869B3"/>
    <w:rsid w:val="000900C9"/>
    <w:rsid w:val="000905CD"/>
    <w:rsid w:val="0009090F"/>
    <w:rsid w:val="00092015"/>
    <w:rsid w:val="000925A7"/>
    <w:rsid w:val="000927B7"/>
    <w:rsid w:val="0009298A"/>
    <w:rsid w:val="000935D0"/>
    <w:rsid w:val="00094524"/>
    <w:rsid w:val="00094A8C"/>
    <w:rsid w:val="00097249"/>
    <w:rsid w:val="000A0CA5"/>
    <w:rsid w:val="000A174A"/>
    <w:rsid w:val="000A2110"/>
    <w:rsid w:val="000A2536"/>
    <w:rsid w:val="000A5CF5"/>
    <w:rsid w:val="000A60A3"/>
    <w:rsid w:val="000B09F0"/>
    <w:rsid w:val="000B2D5E"/>
    <w:rsid w:val="000B32B5"/>
    <w:rsid w:val="000B3AC3"/>
    <w:rsid w:val="000B5212"/>
    <w:rsid w:val="000B772A"/>
    <w:rsid w:val="000B7772"/>
    <w:rsid w:val="000C43D4"/>
    <w:rsid w:val="000C44E7"/>
    <w:rsid w:val="000C536F"/>
    <w:rsid w:val="000C5B57"/>
    <w:rsid w:val="000C6D79"/>
    <w:rsid w:val="000C7077"/>
    <w:rsid w:val="000D1E71"/>
    <w:rsid w:val="000D2960"/>
    <w:rsid w:val="000D3FC4"/>
    <w:rsid w:val="000D421D"/>
    <w:rsid w:val="000D6C56"/>
    <w:rsid w:val="000D7B9E"/>
    <w:rsid w:val="000E124A"/>
    <w:rsid w:val="000E16F3"/>
    <w:rsid w:val="000E1714"/>
    <w:rsid w:val="000E19E3"/>
    <w:rsid w:val="000E19EC"/>
    <w:rsid w:val="000E3C86"/>
    <w:rsid w:val="000E3F28"/>
    <w:rsid w:val="000E44AB"/>
    <w:rsid w:val="000E4733"/>
    <w:rsid w:val="000E4B09"/>
    <w:rsid w:val="000E55B5"/>
    <w:rsid w:val="000E691F"/>
    <w:rsid w:val="000F15CB"/>
    <w:rsid w:val="000F4017"/>
    <w:rsid w:val="000F4FDE"/>
    <w:rsid w:val="000F6EEB"/>
    <w:rsid w:val="000F7659"/>
    <w:rsid w:val="001006A1"/>
    <w:rsid w:val="00100B11"/>
    <w:rsid w:val="00103506"/>
    <w:rsid w:val="00103AA9"/>
    <w:rsid w:val="00106AAE"/>
    <w:rsid w:val="001100C1"/>
    <w:rsid w:val="001104BA"/>
    <w:rsid w:val="00110AEC"/>
    <w:rsid w:val="00110F81"/>
    <w:rsid w:val="0011383A"/>
    <w:rsid w:val="00113D3E"/>
    <w:rsid w:val="001147AC"/>
    <w:rsid w:val="00120076"/>
    <w:rsid w:val="001239BF"/>
    <w:rsid w:val="00125BAA"/>
    <w:rsid w:val="001269AE"/>
    <w:rsid w:val="0012709C"/>
    <w:rsid w:val="00131502"/>
    <w:rsid w:val="00131EC8"/>
    <w:rsid w:val="001320C7"/>
    <w:rsid w:val="00137BE8"/>
    <w:rsid w:val="00140A30"/>
    <w:rsid w:val="00140A57"/>
    <w:rsid w:val="00140F0A"/>
    <w:rsid w:val="00145513"/>
    <w:rsid w:val="001458D1"/>
    <w:rsid w:val="0014644F"/>
    <w:rsid w:val="00146C49"/>
    <w:rsid w:val="00151033"/>
    <w:rsid w:val="00151BE4"/>
    <w:rsid w:val="001521AB"/>
    <w:rsid w:val="00154659"/>
    <w:rsid w:val="00155CB7"/>
    <w:rsid w:val="00157D99"/>
    <w:rsid w:val="00163F04"/>
    <w:rsid w:val="00164FE3"/>
    <w:rsid w:val="0016544C"/>
    <w:rsid w:val="00166490"/>
    <w:rsid w:val="00166874"/>
    <w:rsid w:val="0016729E"/>
    <w:rsid w:val="00167C36"/>
    <w:rsid w:val="00173924"/>
    <w:rsid w:val="001750E5"/>
    <w:rsid w:val="001756F8"/>
    <w:rsid w:val="00176FC1"/>
    <w:rsid w:val="00177CBE"/>
    <w:rsid w:val="001803BC"/>
    <w:rsid w:val="00180B21"/>
    <w:rsid w:val="0018192C"/>
    <w:rsid w:val="00181E65"/>
    <w:rsid w:val="001832F3"/>
    <w:rsid w:val="0018407D"/>
    <w:rsid w:val="00185557"/>
    <w:rsid w:val="00185B9B"/>
    <w:rsid w:val="0018649B"/>
    <w:rsid w:val="001877E6"/>
    <w:rsid w:val="00187E3D"/>
    <w:rsid w:val="0019111C"/>
    <w:rsid w:val="00192850"/>
    <w:rsid w:val="0019487D"/>
    <w:rsid w:val="00195699"/>
    <w:rsid w:val="00195FAB"/>
    <w:rsid w:val="00196162"/>
    <w:rsid w:val="001A1104"/>
    <w:rsid w:val="001A1691"/>
    <w:rsid w:val="001A22A5"/>
    <w:rsid w:val="001A3197"/>
    <w:rsid w:val="001A3910"/>
    <w:rsid w:val="001A5965"/>
    <w:rsid w:val="001A60E8"/>
    <w:rsid w:val="001A7D7D"/>
    <w:rsid w:val="001B06F4"/>
    <w:rsid w:val="001B084D"/>
    <w:rsid w:val="001B0857"/>
    <w:rsid w:val="001B1CA2"/>
    <w:rsid w:val="001B22BC"/>
    <w:rsid w:val="001B291B"/>
    <w:rsid w:val="001B56EF"/>
    <w:rsid w:val="001B62D5"/>
    <w:rsid w:val="001C1307"/>
    <w:rsid w:val="001C14EF"/>
    <w:rsid w:val="001C29E6"/>
    <w:rsid w:val="001C3C88"/>
    <w:rsid w:val="001C57E0"/>
    <w:rsid w:val="001C672A"/>
    <w:rsid w:val="001C71D2"/>
    <w:rsid w:val="001D069F"/>
    <w:rsid w:val="001D23C0"/>
    <w:rsid w:val="001D3903"/>
    <w:rsid w:val="001D4977"/>
    <w:rsid w:val="001D7B0A"/>
    <w:rsid w:val="001D7C77"/>
    <w:rsid w:val="001E06B2"/>
    <w:rsid w:val="001E2FCF"/>
    <w:rsid w:val="001E4246"/>
    <w:rsid w:val="001E4A2E"/>
    <w:rsid w:val="001E5131"/>
    <w:rsid w:val="001E5A4B"/>
    <w:rsid w:val="001E6049"/>
    <w:rsid w:val="001E61BF"/>
    <w:rsid w:val="001E7917"/>
    <w:rsid w:val="001F1D41"/>
    <w:rsid w:val="001F2F3E"/>
    <w:rsid w:val="001F4C02"/>
    <w:rsid w:val="001F535D"/>
    <w:rsid w:val="001F57F6"/>
    <w:rsid w:val="001F589E"/>
    <w:rsid w:val="001F6405"/>
    <w:rsid w:val="001F7248"/>
    <w:rsid w:val="001F7E82"/>
    <w:rsid w:val="00201911"/>
    <w:rsid w:val="00201997"/>
    <w:rsid w:val="00201C0F"/>
    <w:rsid w:val="00201F7E"/>
    <w:rsid w:val="00203469"/>
    <w:rsid w:val="00203C4A"/>
    <w:rsid w:val="002045E7"/>
    <w:rsid w:val="00204D6A"/>
    <w:rsid w:val="00205013"/>
    <w:rsid w:val="00206343"/>
    <w:rsid w:val="00210D38"/>
    <w:rsid w:val="00211556"/>
    <w:rsid w:val="00212BD6"/>
    <w:rsid w:val="002138CB"/>
    <w:rsid w:val="002142CC"/>
    <w:rsid w:val="00215672"/>
    <w:rsid w:val="00216A45"/>
    <w:rsid w:val="00216CF8"/>
    <w:rsid w:val="00216D54"/>
    <w:rsid w:val="002206EB"/>
    <w:rsid w:val="00220C9B"/>
    <w:rsid w:val="00223C4D"/>
    <w:rsid w:val="00226454"/>
    <w:rsid w:val="00226563"/>
    <w:rsid w:val="002265FB"/>
    <w:rsid w:val="00226B52"/>
    <w:rsid w:val="00232CC6"/>
    <w:rsid w:val="00233A56"/>
    <w:rsid w:val="00237BED"/>
    <w:rsid w:val="002401C4"/>
    <w:rsid w:val="002419DD"/>
    <w:rsid w:val="0024228D"/>
    <w:rsid w:val="002430F1"/>
    <w:rsid w:val="00247063"/>
    <w:rsid w:val="002477D3"/>
    <w:rsid w:val="002511FA"/>
    <w:rsid w:val="00252E40"/>
    <w:rsid w:val="00253715"/>
    <w:rsid w:val="00256088"/>
    <w:rsid w:val="00256A03"/>
    <w:rsid w:val="00257D8D"/>
    <w:rsid w:val="00260818"/>
    <w:rsid w:val="00261435"/>
    <w:rsid w:val="002621F1"/>
    <w:rsid w:val="00262312"/>
    <w:rsid w:val="002624EB"/>
    <w:rsid w:val="002633E8"/>
    <w:rsid w:val="00265A39"/>
    <w:rsid w:val="00265DDF"/>
    <w:rsid w:val="002671D7"/>
    <w:rsid w:val="002671E1"/>
    <w:rsid w:val="002706DE"/>
    <w:rsid w:val="002725E6"/>
    <w:rsid w:val="002734A0"/>
    <w:rsid w:val="0027579B"/>
    <w:rsid w:val="002768AF"/>
    <w:rsid w:val="00280842"/>
    <w:rsid w:val="00283992"/>
    <w:rsid w:val="002856D6"/>
    <w:rsid w:val="002868C0"/>
    <w:rsid w:val="00286D5A"/>
    <w:rsid w:val="0029075F"/>
    <w:rsid w:val="00291EC7"/>
    <w:rsid w:val="0029291D"/>
    <w:rsid w:val="0029321B"/>
    <w:rsid w:val="002936B5"/>
    <w:rsid w:val="00293C14"/>
    <w:rsid w:val="00293E0A"/>
    <w:rsid w:val="002959BC"/>
    <w:rsid w:val="002A0995"/>
    <w:rsid w:val="002A2628"/>
    <w:rsid w:val="002A2997"/>
    <w:rsid w:val="002A3012"/>
    <w:rsid w:val="002A3328"/>
    <w:rsid w:val="002A44FD"/>
    <w:rsid w:val="002A477B"/>
    <w:rsid w:val="002A47F0"/>
    <w:rsid w:val="002A634F"/>
    <w:rsid w:val="002A6762"/>
    <w:rsid w:val="002A7780"/>
    <w:rsid w:val="002B0AFC"/>
    <w:rsid w:val="002B0C9E"/>
    <w:rsid w:val="002B0D41"/>
    <w:rsid w:val="002B0E32"/>
    <w:rsid w:val="002B1986"/>
    <w:rsid w:val="002B348C"/>
    <w:rsid w:val="002B379D"/>
    <w:rsid w:val="002B4207"/>
    <w:rsid w:val="002B4A17"/>
    <w:rsid w:val="002B50FC"/>
    <w:rsid w:val="002B60B2"/>
    <w:rsid w:val="002C2EEC"/>
    <w:rsid w:val="002C3156"/>
    <w:rsid w:val="002C3B37"/>
    <w:rsid w:val="002C3B67"/>
    <w:rsid w:val="002C4D5B"/>
    <w:rsid w:val="002C517E"/>
    <w:rsid w:val="002C70D4"/>
    <w:rsid w:val="002D04C4"/>
    <w:rsid w:val="002D3569"/>
    <w:rsid w:val="002D69EC"/>
    <w:rsid w:val="002D73B4"/>
    <w:rsid w:val="002E07B9"/>
    <w:rsid w:val="002E1964"/>
    <w:rsid w:val="002E3DAB"/>
    <w:rsid w:val="002E69DF"/>
    <w:rsid w:val="002E7F13"/>
    <w:rsid w:val="002F03A0"/>
    <w:rsid w:val="002F1688"/>
    <w:rsid w:val="002F1775"/>
    <w:rsid w:val="002F1CCF"/>
    <w:rsid w:val="002F27CA"/>
    <w:rsid w:val="002F2B47"/>
    <w:rsid w:val="002F3A88"/>
    <w:rsid w:val="002F648A"/>
    <w:rsid w:val="002F76B2"/>
    <w:rsid w:val="0030221B"/>
    <w:rsid w:val="00302527"/>
    <w:rsid w:val="00302745"/>
    <w:rsid w:val="003027E7"/>
    <w:rsid w:val="00305C66"/>
    <w:rsid w:val="00310B53"/>
    <w:rsid w:val="00312035"/>
    <w:rsid w:val="00312824"/>
    <w:rsid w:val="00313579"/>
    <w:rsid w:val="00313EAA"/>
    <w:rsid w:val="0031539D"/>
    <w:rsid w:val="00317A44"/>
    <w:rsid w:val="00323A61"/>
    <w:rsid w:val="00324623"/>
    <w:rsid w:val="00325AA9"/>
    <w:rsid w:val="00327911"/>
    <w:rsid w:val="0032797C"/>
    <w:rsid w:val="00327A8A"/>
    <w:rsid w:val="00334C5F"/>
    <w:rsid w:val="003355F2"/>
    <w:rsid w:val="0033608B"/>
    <w:rsid w:val="00340BE6"/>
    <w:rsid w:val="003411E3"/>
    <w:rsid w:val="00341C32"/>
    <w:rsid w:val="00341D55"/>
    <w:rsid w:val="00343A2F"/>
    <w:rsid w:val="003447F2"/>
    <w:rsid w:val="003453FF"/>
    <w:rsid w:val="00346C57"/>
    <w:rsid w:val="0035048F"/>
    <w:rsid w:val="003505FC"/>
    <w:rsid w:val="003511C8"/>
    <w:rsid w:val="003513E8"/>
    <w:rsid w:val="00354549"/>
    <w:rsid w:val="0035478B"/>
    <w:rsid w:val="003547F2"/>
    <w:rsid w:val="003555DF"/>
    <w:rsid w:val="00360F73"/>
    <w:rsid w:val="003630E4"/>
    <w:rsid w:val="00364198"/>
    <w:rsid w:val="0036627A"/>
    <w:rsid w:val="003665A8"/>
    <w:rsid w:val="00367B20"/>
    <w:rsid w:val="0037043A"/>
    <w:rsid w:val="00370993"/>
    <w:rsid w:val="00370ED9"/>
    <w:rsid w:val="00372A08"/>
    <w:rsid w:val="00373210"/>
    <w:rsid w:val="003738ED"/>
    <w:rsid w:val="003758D3"/>
    <w:rsid w:val="00375C73"/>
    <w:rsid w:val="00376DB9"/>
    <w:rsid w:val="00383A75"/>
    <w:rsid w:val="00384FA9"/>
    <w:rsid w:val="00385A39"/>
    <w:rsid w:val="00386B10"/>
    <w:rsid w:val="003873FE"/>
    <w:rsid w:val="00387D7E"/>
    <w:rsid w:val="0039102F"/>
    <w:rsid w:val="0039331C"/>
    <w:rsid w:val="00394033"/>
    <w:rsid w:val="00394515"/>
    <w:rsid w:val="00395BE7"/>
    <w:rsid w:val="00395C66"/>
    <w:rsid w:val="00395ECE"/>
    <w:rsid w:val="003968A7"/>
    <w:rsid w:val="00396A5E"/>
    <w:rsid w:val="0039741C"/>
    <w:rsid w:val="003A01E0"/>
    <w:rsid w:val="003A19C6"/>
    <w:rsid w:val="003A27F3"/>
    <w:rsid w:val="003A2E50"/>
    <w:rsid w:val="003A3958"/>
    <w:rsid w:val="003A5195"/>
    <w:rsid w:val="003B0898"/>
    <w:rsid w:val="003B0CF6"/>
    <w:rsid w:val="003B2C1B"/>
    <w:rsid w:val="003B2CDB"/>
    <w:rsid w:val="003B5CA6"/>
    <w:rsid w:val="003B6DE2"/>
    <w:rsid w:val="003B76F1"/>
    <w:rsid w:val="003C022C"/>
    <w:rsid w:val="003C28DD"/>
    <w:rsid w:val="003C29E8"/>
    <w:rsid w:val="003C3F51"/>
    <w:rsid w:val="003C62DE"/>
    <w:rsid w:val="003C62EF"/>
    <w:rsid w:val="003C63EC"/>
    <w:rsid w:val="003C7B77"/>
    <w:rsid w:val="003C7D21"/>
    <w:rsid w:val="003D047A"/>
    <w:rsid w:val="003D09EE"/>
    <w:rsid w:val="003D1D81"/>
    <w:rsid w:val="003D24F2"/>
    <w:rsid w:val="003D3684"/>
    <w:rsid w:val="003D6D0F"/>
    <w:rsid w:val="003D6FF1"/>
    <w:rsid w:val="003D7770"/>
    <w:rsid w:val="003E0FE3"/>
    <w:rsid w:val="003E2A6F"/>
    <w:rsid w:val="003E2EDA"/>
    <w:rsid w:val="003E5337"/>
    <w:rsid w:val="003E6E43"/>
    <w:rsid w:val="003F25BB"/>
    <w:rsid w:val="003F428F"/>
    <w:rsid w:val="003F4A90"/>
    <w:rsid w:val="003F5784"/>
    <w:rsid w:val="003F73D6"/>
    <w:rsid w:val="003F7F57"/>
    <w:rsid w:val="00403FC3"/>
    <w:rsid w:val="00404672"/>
    <w:rsid w:val="004067A6"/>
    <w:rsid w:val="0041121A"/>
    <w:rsid w:val="00411C9C"/>
    <w:rsid w:val="00412D70"/>
    <w:rsid w:val="00415C6A"/>
    <w:rsid w:val="00416128"/>
    <w:rsid w:val="00420577"/>
    <w:rsid w:val="00420851"/>
    <w:rsid w:val="00420ACF"/>
    <w:rsid w:val="004225CC"/>
    <w:rsid w:val="0042346E"/>
    <w:rsid w:val="00425F34"/>
    <w:rsid w:val="0042702C"/>
    <w:rsid w:val="0043149D"/>
    <w:rsid w:val="00431565"/>
    <w:rsid w:val="004369C3"/>
    <w:rsid w:val="00440BA1"/>
    <w:rsid w:val="0044319D"/>
    <w:rsid w:val="0044665E"/>
    <w:rsid w:val="00447370"/>
    <w:rsid w:val="00451F8A"/>
    <w:rsid w:val="00453911"/>
    <w:rsid w:val="00454040"/>
    <w:rsid w:val="00454814"/>
    <w:rsid w:val="00457B54"/>
    <w:rsid w:val="00463033"/>
    <w:rsid w:val="00463671"/>
    <w:rsid w:val="0046490B"/>
    <w:rsid w:val="00464AEE"/>
    <w:rsid w:val="00464E11"/>
    <w:rsid w:val="0046604A"/>
    <w:rsid w:val="004665D9"/>
    <w:rsid w:val="00466982"/>
    <w:rsid w:val="00466CFE"/>
    <w:rsid w:val="00470598"/>
    <w:rsid w:val="00475121"/>
    <w:rsid w:val="00475A41"/>
    <w:rsid w:val="00475C64"/>
    <w:rsid w:val="00476124"/>
    <w:rsid w:val="004769BE"/>
    <w:rsid w:val="00477AFF"/>
    <w:rsid w:val="004806A0"/>
    <w:rsid w:val="00481285"/>
    <w:rsid w:val="004814FA"/>
    <w:rsid w:val="00482019"/>
    <w:rsid w:val="00486335"/>
    <w:rsid w:val="00486A5C"/>
    <w:rsid w:val="00486E42"/>
    <w:rsid w:val="004875FA"/>
    <w:rsid w:val="00492247"/>
    <w:rsid w:val="00492611"/>
    <w:rsid w:val="00495646"/>
    <w:rsid w:val="00495F3D"/>
    <w:rsid w:val="00496867"/>
    <w:rsid w:val="00497973"/>
    <w:rsid w:val="004A0E2F"/>
    <w:rsid w:val="004A1571"/>
    <w:rsid w:val="004A16A7"/>
    <w:rsid w:val="004A1AC9"/>
    <w:rsid w:val="004A2D91"/>
    <w:rsid w:val="004A4031"/>
    <w:rsid w:val="004A41FD"/>
    <w:rsid w:val="004A47C6"/>
    <w:rsid w:val="004A533B"/>
    <w:rsid w:val="004B2784"/>
    <w:rsid w:val="004B2E6B"/>
    <w:rsid w:val="004B3EA0"/>
    <w:rsid w:val="004B42A8"/>
    <w:rsid w:val="004B63D6"/>
    <w:rsid w:val="004B6672"/>
    <w:rsid w:val="004B7411"/>
    <w:rsid w:val="004B7D69"/>
    <w:rsid w:val="004C04BD"/>
    <w:rsid w:val="004C3686"/>
    <w:rsid w:val="004C4EBE"/>
    <w:rsid w:val="004C5F5A"/>
    <w:rsid w:val="004C6062"/>
    <w:rsid w:val="004D2362"/>
    <w:rsid w:val="004D2C49"/>
    <w:rsid w:val="004D30FB"/>
    <w:rsid w:val="004D5791"/>
    <w:rsid w:val="004D5E43"/>
    <w:rsid w:val="004D69AB"/>
    <w:rsid w:val="004E0511"/>
    <w:rsid w:val="004E09DA"/>
    <w:rsid w:val="004E0DB6"/>
    <w:rsid w:val="004E1E65"/>
    <w:rsid w:val="004E26F7"/>
    <w:rsid w:val="004E5688"/>
    <w:rsid w:val="004E5E8A"/>
    <w:rsid w:val="004E6D95"/>
    <w:rsid w:val="004F0198"/>
    <w:rsid w:val="004F0A4C"/>
    <w:rsid w:val="004F145A"/>
    <w:rsid w:val="004F22BF"/>
    <w:rsid w:val="004F2941"/>
    <w:rsid w:val="004F3F81"/>
    <w:rsid w:val="004F5694"/>
    <w:rsid w:val="004F5B5F"/>
    <w:rsid w:val="004F6711"/>
    <w:rsid w:val="005001BB"/>
    <w:rsid w:val="005009C7"/>
    <w:rsid w:val="0050127F"/>
    <w:rsid w:val="00502578"/>
    <w:rsid w:val="00502947"/>
    <w:rsid w:val="005036EC"/>
    <w:rsid w:val="0050503A"/>
    <w:rsid w:val="00505674"/>
    <w:rsid w:val="00505BAE"/>
    <w:rsid w:val="005060ED"/>
    <w:rsid w:val="005061E5"/>
    <w:rsid w:val="00506E20"/>
    <w:rsid w:val="0050787A"/>
    <w:rsid w:val="005112BB"/>
    <w:rsid w:val="005120E0"/>
    <w:rsid w:val="0051216B"/>
    <w:rsid w:val="00512DD4"/>
    <w:rsid w:val="00513B01"/>
    <w:rsid w:val="00513C92"/>
    <w:rsid w:val="00515562"/>
    <w:rsid w:val="005208D8"/>
    <w:rsid w:val="00521E3A"/>
    <w:rsid w:val="0052257E"/>
    <w:rsid w:val="0052434F"/>
    <w:rsid w:val="005248E6"/>
    <w:rsid w:val="00525170"/>
    <w:rsid w:val="005259A1"/>
    <w:rsid w:val="005302A3"/>
    <w:rsid w:val="00530CD4"/>
    <w:rsid w:val="00531DB2"/>
    <w:rsid w:val="00541278"/>
    <w:rsid w:val="00543A37"/>
    <w:rsid w:val="00545FD4"/>
    <w:rsid w:val="00546902"/>
    <w:rsid w:val="00550683"/>
    <w:rsid w:val="0055147C"/>
    <w:rsid w:val="0055164D"/>
    <w:rsid w:val="00551EDC"/>
    <w:rsid w:val="00552296"/>
    <w:rsid w:val="00553D45"/>
    <w:rsid w:val="00553DB7"/>
    <w:rsid w:val="005540BE"/>
    <w:rsid w:val="00554A59"/>
    <w:rsid w:val="005569A0"/>
    <w:rsid w:val="00557102"/>
    <w:rsid w:val="00557354"/>
    <w:rsid w:val="0056013A"/>
    <w:rsid w:val="00565F69"/>
    <w:rsid w:val="00567473"/>
    <w:rsid w:val="00567B3C"/>
    <w:rsid w:val="00567EC1"/>
    <w:rsid w:val="00570BD2"/>
    <w:rsid w:val="00570DF8"/>
    <w:rsid w:val="00571215"/>
    <w:rsid w:val="0057259D"/>
    <w:rsid w:val="005742D9"/>
    <w:rsid w:val="0058047F"/>
    <w:rsid w:val="00580966"/>
    <w:rsid w:val="00581711"/>
    <w:rsid w:val="00582BC8"/>
    <w:rsid w:val="00583704"/>
    <w:rsid w:val="00583C6C"/>
    <w:rsid w:val="0058422F"/>
    <w:rsid w:val="00584E70"/>
    <w:rsid w:val="00585382"/>
    <w:rsid w:val="005857F2"/>
    <w:rsid w:val="0058616F"/>
    <w:rsid w:val="00592FBC"/>
    <w:rsid w:val="0059388E"/>
    <w:rsid w:val="00593C2E"/>
    <w:rsid w:val="005940E8"/>
    <w:rsid w:val="0059411D"/>
    <w:rsid w:val="0059425A"/>
    <w:rsid w:val="0059460F"/>
    <w:rsid w:val="00594633"/>
    <w:rsid w:val="00594E9F"/>
    <w:rsid w:val="00596DC0"/>
    <w:rsid w:val="00597EE4"/>
    <w:rsid w:val="005A16A9"/>
    <w:rsid w:val="005A2113"/>
    <w:rsid w:val="005A27CF"/>
    <w:rsid w:val="005A4F55"/>
    <w:rsid w:val="005A59BC"/>
    <w:rsid w:val="005A6752"/>
    <w:rsid w:val="005A7C38"/>
    <w:rsid w:val="005B1512"/>
    <w:rsid w:val="005B3025"/>
    <w:rsid w:val="005B3431"/>
    <w:rsid w:val="005B57DA"/>
    <w:rsid w:val="005B6A66"/>
    <w:rsid w:val="005B704C"/>
    <w:rsid w:val="005B7FB3"/>
    <w:rsid w:val="005C1715"/>
    <w:rsid w:val="005C1BB0"/>
    <w:rsid w:val="005C20CA"/>
    <w:rsid w:val="005C23FF"/>
    <w:rsid w:val="005C3F72"/>
    <w:rsid w:val="005C4079"/>
    <w:rsid w:val="005C4BF8"/>
    <w:rsid w:val="005C6038"/>
    <w:rsid w:val="005C7DBE"/>
    <w:rsid w:val="005D0D95"/>
    <w:rsid w:val="005D3596"/>
    <w:rsid w:val="005D4035"/>
    <w:rsid w:val="005D5001"/>
    <w:rsid w:val="005D6D44"/>
    <w:rsid w:val="005D716F"/>
    <w:rsid w:val="005D7EC1"/>
    <w:rsid w:val="005E1102"/>
    <w:rsid w:val="005E1F93"/>
    <w:rsid w:val="005E2F27"/>
    <w:rsid w:val="005E693D"/>
    <w:rsid w:val="005E6C39"/>
    <w:rsid w:val="005F1287"/>
    <w:rsid w:val="005F201D"/>
    <w:rsid w:val="005F28A0"/>
    <w:rsid w:val="005F3144"/>
    <w:rsid w:val="005F3C54"/>
    <w:rsid w:val="005F416D"/>
    <w:rsid w:val="005F41E5"/>
    <w:rsid w:val="005F434C"/>
    <w:rsid w:val="005F5C5B"/>
    <w:rsid w:val="005F64D6"/>
    <w:rsid w:val="00601178"/>
    <w:rsid w:val="00601442"/>
    <w:rsid w:val="00601BDB"/>
    <w:rsid w:val="00601D32"/>
    <w:rsid w:val="00606C9B"/>
    <w:rsid w:val="00606FDD"/>
    <w:rsid w:val="0060751E"/>
    <w:rsid w:val="00613035"/>
    <w:rsid w:val="006130D6"/>
    <w:rsid w:val="00613929"/>
    <w:rsid w:val="00616799"/>
    <w:rsid w:val="00616D33"/>
    <w:rsid w:val="00617040"/>
    <w:rsid w:val="0062030D"/>
    <w:rsid w:val="0062036A"/>
    <w:rsid w:val="00620E9C"/>
    <w:rsid w:val="006225D3"/>
    <w:rsid w:val="00623470"/>
    <w:rsid w:val="00624336"/>
    <w:rsid w:val="00624CF3"/>
    <w:rsid w:val="00625517"/>
    <w:rsid w:val="00625CEA"/>
    <w:rsid w:val="00627067"/>
    <w:rsid w:val="00627A5B"/>
    <w:rsid w:val="00632841"/>
    <w:rsid w:val="00635B1F"/>
    <w:rsid w:val="006363FB"/>
    <w:rsid w:val="0063697B"/>
    <w:rsid w:val="00637015"/>
    <w:rsid w:val="00637165"/>
    <w:rsid w:val="00637DAE"/>
    <w:rsid w:val="00641298"/>
    <w:rsid w:val="00641451"/>
    <w:rsid w:val="00643CBF"/>
    <w:rsid w:val="00644CD3"/>
    <w:rsid w:val="00645645"/>
    <w:rsid w:val="00647836"/>
    <w:rsid w:val="0065108F"/>
    <w:rsid w:val="00651B26"/>
    <w:rsid w:val="00652522"/>
    <w:rsid w:val="006535D4"/>
    <w:rsid w:val="00653AC5"/>
    <w:rsid w:val="00655ABE"/>
    <w:rsid w:val="006577B7"/>
    <w:rsid w:val="006619CD"/>
    <w:rsid w:val="00662C0F"/>
    <w:rsid w:val="00663313"/>
    <w:rsid w:val="006640BA"/>
    <w:rsid w:val="006657F5"/>
    <w:rsid w:val="00667497"/>
    <w:rsid w:val="00670AF4"/>
    <w:rsid w:val="0067202E"/>
    <w:rsid w:val="0067510B"/>
    <w:rsid w:val="00675695"/>
    <w:rsid w:val="00675E5F"/>
    <w:rsid w:val="00677F18"/>
    <w:rsid w:val="00683EAA"/>
    <w:rsid w:val="00684A4D"/>
    <w:rsid w:val="0068608B"/>
    <w:rsid w:val="00686E0B"/>
    <w:rsid w:val="00690BB6"/>
    <w:rsid w:val="00691E2B"/>
    <w:rsid w:val="00693DAB"/>
    <w:rsid w:val="00695FAD"/>
    <w:rsid w:val="00697D77"/>
    <w:rsid w:val="006A027E"/>
    <w:rsid w:val="006A1EB8"/>
    <w:rsid w:val="006A38CA"/>
    <w:rsid w:val="006A4B52"/>
    <w:rsid w:val="006A5685"/>
    <w:rsid w:val="006A65C3"/>
    <w:rsid w:val="006B1F71"/>
    <w:rsid w:val="006B26F0"/>
    <w:rsid w:val="006B2DAD"/>
    <w:rsid w:val="006B43D2"/>
    <w:rsid w:val="006B51A0"/>
    <w:rsid w:val="006B59DF"/>
    <w:rsid w:val="006B639D"/>
    <w:rsid w:val="006B7E46"/>
    <w:rsid w:val="006C0949"/>
    <w:rsid w:val="006C101A"/>
    <w:rsid w:val="006C1068"/>
    <w:rsid w:val="006C46CE"/>
    <w:rsid w:val="006C4F8D"/>
    <w:rsid w:val="006C534D"/>
    <w:rsid w:val="006C6EF6"/>
    <w:rsid w:val="006C7CBB"/>
    <w:rsid w:val="006D145A"/>
    <w:rsid w:val="006D2F0E"/>
    <w:rsid w:val="006D5CD5"/>
    <w:rsid w:val="006D767B"/>
    <w:rsid w:val="006D7C2A"/>
    <w:rsid w:val="006D7C4A"/>
    <w:rsid w:val="006D7D8F"/>
    <w:rsid w:val="006E032E"/>
    <w:rsid w:val="006E0394"/>
    <w:rsid w:val="006E13BF"/>
    <w:rsid w:val="006E3709"/>
    <w:rsid w:val="006E4EFE"/>
    <w:rsid w:val="006F425A"/>
    <w:rsid w:val="006F42CD"/>
    <w:rsid w:val="0070168D"/>
    <w:rsid w:val="00701FE0"/>
    <w:rsid w:val="00702635"/>
    <w:rsid w:val="00703377"/>
    <w:rsid w:val="007047ED"/>
    <w:rsid w:val="007049DD"/>
    <w:rsid w:val="00704E75"/>
    <w:rsid w:val="0070522D"/>
    <w:rsid w:val="00707CBD"/>
    <w:rsid w:val="0071132C"/>
    <w:rsid w:val="00711390"/>
    <w:rsid w:val="00711484"/>
    <w:rsid w:val="00712C75"/>
    <w:rsid w:val="00713395"/>
    <w:rsid w:val="007139DA"/>
    <w:rsid w:val="00715595"/>
    <w:rsid w:val="007170CC"/>
    <w:rsid w:val="0072137F"/>
    <w:rsid w:val="007243BD"/>
    <w:rsid w:val="00724EA4"/>
    <w:rsid w:val="00725AE5"/>
    <w:rsid w:val="00725D19"/>
    <w:rsid w:val="00726F52"/>
    <w:rsid w:val="00727B24"/>
    <w:rsid w:val="00732C8A"/>
    <w:rsid w:val="007330F9"/>
    <w:rsid w:val="00734688"/>
    <w:rsid w:val="00734C4C"/>
    <w:rsid w:val="00735AC4"/>
    <w:rsid w:val="00736149"/>
    <w:rsid w:val="0073782D"/>
    <w:rsid w:val="00737DF7"/>
    <w:rsid w:val="0073B47E"/>
    <w:rsid w:val="007405DA"/>
    <w:rsid w:val="007419E0"/>
    <w:rsid w:val="00742BC3"/>
    <w:rsid w:val="007447AF"/>
    <w:rsid w:val="00746344"/>
    <w:rsid w:val="00751056"/>
    <w:rsid w:val="00751A6C"/>
    <w:rsid w:val="007524C6"/>
    <w:rsid w:val="00753E27"/>
    <w:rsid w:val="007569CB"/>
    <w:rsid w:val="00756B15"/>
    <w:rsid w:val="00762919"/>
    <w:rsid w:val="00763413"/>
    <w:rsid w:val="0076570B"/>
    <w:rsid w:val="00765FB3"/>
    <w:rsid w:val="00766AF1"/>
    <w:rsid w:val="00772D39"/>
    <w:rsid w:val="00773A53"/>
    <w:rsid w:val="007753A2"/>
    <w:rsid w:val="00776050"/>
    <w:rsid w:val="00777A9D"/>
    <w:rsid w:val="00780D85"/>
    <w:rsid w:val="00781BE4"/>
    <w:rsid w:val="007843E3"/>
    <w:rsid w:val="00785748"/>
    <w:rsid w:val="007858A3"/>
    <w:rsid w:val="00787236"/>
    <w:rsid w:val="007922C7"/>
    <w:rsid w:val="0079300D"/>
    <w:rsid w:val="00793B06"/>
    <w:rsid w:val="00794D47"/>
    <w:rsid w:val="00797B15"/>
    <w:rsid w:val="00797D0E"/>
    <w:rsid w:val="007A0F4F"/>
    <w:rsid w:val="007A1164"/>
    <w:rsid w:val="007A14A1"/>
    <w:rsid w:val="007A1888"/>
    <w:rsid w:val="007A2E66"/>
    <w:rsid w:val="007A3CFD"/>
    <w:rsid w:val="007A4E97"/>
    <w:rsid w:val="007A6462"/>
    <w:rsid w:val="007A72FF"/>
    <w:rsid w:val="007A7540"/>
    <w:rsid w:val="007B2968"/>
    <w:rsid w:val="007B4B75"/>
    <w:rsid w:val="007B7347"/>
    <w:rsid w:val="007C03EE"/>
    <w:rsid w:val="007C0504"/>
    <w:rsid w:val="007C0CEF"/>
    <w:rsid w:val="007C175A"/>
    <w:rsid w:val="007C210F"/>
    <w:rsid w:val="007C3C4A"/>
    <w:rsid w:val="007C58D5"/>
    <w:rsid w:val="007C5C55"/>
    <w:rsid w:val="007C5DE2"/>
    <w:rsid w:val="007C655D"/>
    <w:rsid w:val="007D3573"/>
    <w:rsid w:val="007D3BBB"/>
    <w:rsid w:val="007D4645"/>
    <w:rsid w:val="007D54C4"/>
    <w:rsid w:val="007D6D73"/>
    <w:rsid w:val="007D6DDB"/>
    <w:rsid w:val="007D7527"/>
    <w:rsid w:val="007D7BBF"/>
    <w:rsid w:val="007D7D54"/>
    <w:rsid w:val="007E086A"/>
    <w:rsid w:val="007E1E9E"/>
    <w:rsid w:val="007E2D34"/>
    <w:rsid w:val="007E2FA2"/>
    <w:rsid w:val="007E3908"/>
    <w:rsid w:val="007E42B6"/>
    <w:rsid w:val="007E5F09"/>
    <w:rsid w:val="007E73DB"/>
    <w:rsid w:val="007F0CCC"/>
    <w:rsid w:val="007F1EF9"/>
    <w:rsid w:val="007F501E"/>
    <w:rsid w:val="00800A2E"/>
    <w:rsid w:val="008012FB"/>
    <w:rsid w:val="00802666"/>
    <w:rsid w:val="008041F6"/>
    <w:rsid w:val="00806A4E"/>
    <w:rsid w:val="00806D0C"/>
    <w:rsid w:val="00807573"/>
    <w:rsid w:val="008104CF"/>
    <w:rsid w:val="00810A80"/>
    <w:rsid w:val="0081126F"/>
    <w:rsid w:val="008114D3"/>
    <w:rsid w:val="00812216"/>
    <w:rsid w:val="0081407B"/>
    <w:rsid w:val="008169E7"/>
    <w:rsid w:val="00817DD8"/>
    <w:rsid w:val="00820A79"/>
    <w:rsid w:val="00821B71"/>
    <w:rsid w:val="00822B7A"/>
    <w:rsid w:val="00822DB5"/>
    <w:rsid w:val="008241FF"/>
    <w:rsid w:val="00824F13"/>
    <w:rsid w:val="0082676B"/>
    <w:rsid w:val="00826789"/>
    <w:rsid w:val="0082683C"/>
    <w:rsid w:val="00827663"/>
    <w:rsid w:val="008279DD"/>
    <w:rsid w:val="008300E6"/>
    <w:rsid w:val="00830706"/>
    <w:rsid w:val="008312FE"/>
    <w:rsid w:val="00832C4F"/>
    <w:rsid w:val="00832EF8"/>
    <w:rsid w:val="00833C26"/>
    <w:rsid w:val="00834A28"/>
    <w:rsid w:val="00834B2D"/>
    <w:rsid w:val="0083550D"/>
    <w:rsid w:val="00835AD8"/>
    <w:rsid w:val="00837246"/>
    <w:rsid w:val="00837897"/>
    <w:rsid w:val="00841F79"/>
    <w:rsid w:val="00843A51"/>
    <w:rsid w:val="00843C43"/>
    <w:rsid w:val="00844601"/>
    <w:rsid w:val="008453F1"/>
    <w:rsid w:val="00845546"/>
    <w:rsid w:val="00845D92"/>
    <w:rsid w:val="00846372"/>
    <w:rsid w:val="00850BE0"/>
    <w:rsid w:val="00852352"/>
    <w:rsid w:val="00852978"/>
    <w:rsid w:val="008533B5"/>
    <w:rsid w:val="008538C7"/>
    <w:rsid w:val="0085410E"/>
    <w:rsid w:val="008569BB"/>
    <w:rsid w:val="0086179D"/>
    <w:rsid w:val="00861A7F"/>
    <w:rsid w:val="00862283"/>
    <w:rsid w:val="008636DD"/>
    <w:rsid w:val="008644D3"/>
    <w:rsid w:val="0086458E"/>
    <w:rsid w:val="008647C6"/>
    <w:rsid w:val="00864EE0"/>
    <w:rsid w:val="00865620"/>
    <w:rsid w:val="00865FDE"/>
    <w:rsid w:val="00866D5A"/>
    <w:rsid w:val="00867B02"/>
    <w:rsid w:val="00870C06"/>
    <w:rsid w:val="008741AF"/>
    <w:rsid w:val="00874CD3"/>
    <w:rsid w:val="00876435"/>
    <w:rsid w:val="00877BF8"/>
    <w:rsid w:val="00877C5A"/>
    <w:rsid w:val="0088308E"/>
    <w:rsid w:val="008840A8"/>
    <w:rsid w:val="008843D2"/>
    <w:rsid w:val="00884510"/>
    <w:rsid w:val="0088506E"/>
    <w:rsid w:val="0089120D"/>
    <w:rsid w:val="008917D0"/>
    <w:rsid w:val="0089337C"/>
    <w:rsid w:val="00893B4A"/>
    <w:rsid w:val="008948F4"/>
    <w:rsid w:val="00894F40"/>
    <w:rsid w:val="00894FAF"/>
    <w:rsid w:val="00895AB2"/>
    <w:rsid w:val="00896BBE"/>
    <w:rsid w:val="00896D8F"/>
    <w:rsid w:val="0089770F"/>
    <w:rsid w:val="008A00BC"/>
    <w:rsid w:val="008A08B9"/>
    <w:rsid w:val="008A0ECE"/>
    <w:rsid w:val="008A1270"/>
    <w:rsid w:val="008A2FC0"/>
    <w:rsid w:val="008A5FEF"/>
    <w:rsid w:val="008A6B89"/>
    <w:rsid w:val="008A7BC4"/>
    <w:rsid w:val="008B0B64"/>
    <w:rsid w:val="008B0BAB"/>
    <w:rsid w:val="008B1605"/>
    <w:rsid w:val="008B2153"/>
    <w:rsid w:val="008B38BC"/>
    <w:rsid w:val="008B521A"/>
    <w:rsid w:val="008B617B"/>
    <w:rsid w:val="008B7E97"/>
    <w:rsid w:val="008C013B"/>
    <w:rsid w:val="008C062B"/>
    <w:rsid w:val="008C08FA"/>
    <w:rsid w:val="008C0AB5"/>
    <w:rsid w:val="008C2510"/>
    <w:rsid w:val="008C41A5"/>
    <w:rsid w:val="008C7B63"/>
    <w:rsid w:val="008C7C10"/>
    <w:rsid w:val="008D1B04"/>
    <w:rsid w:val="008D1E63"/>
    <w:rsid w:val="008D2A52"/>
    <w:rsid w:val="008D61D2"/>
    <w:rsid w:val="008D679B"/>
    <w:rsid w:val="008E016D"/>
    <w:rsid w:val="008E07B8"/>
    <w:rsid w:val="008E0EE9"/>
    <w:rsid w:val="008E1CF5"/>
    <w:rsid w:val="008E2978"/>
    <w:rsid w:val="008E2EAE"/>
    <w:rsid w:val="008E4363"/>
    <w:rsid w:val="008F0131"/>
    <w:rsid w:val="008F0B37"/>
    <w:rsid w:val="008F1B2F"/>
    <w:rsid w:val="008F2BB4"/>
    <w:rsid w:val="008F496F"/>
    <w:rsid w:val="008F4C53"/>
    <w:rsid w:val="00900527"/>
    <w:rsid w:val="00901FF1"/>
    <w:rsid w:val="0090306D"/>
    <w:rsid w:val="00904628"/>
    <w:rsid w:val="00904814"/>
    <w:rsid w:val="009049DD"/>
    <w:rsid w:val="00904A47"/>
    <w:rsid w:val="00905311"/>
    <w:rsid w:val="00905438"/>
    <w:rsid w:val="009056AB"/>
    <w:rsid w:val="00905B9E"/>
    <w:rsid w:val="00906136"/>
    <w:rsid w:val="0090624F"/>
    <w:rsid w:val="009063B8"/>
    <w:rsid w:val="009077E6"/>
    <w:rsid w:val="0091142A"/>
    <w:rsid w:val="00912197"/>
    <w:rsid w:val="00912534"/>
    <w:rsid w:val="009142EA"/>
    <w:rsid w:val="0091459E"/>
    <w:rsid w:val="0091481C"/>
    <w:rsid w:val="009165AD"/>
    <w:rsid w:val="00920234"/>
    <w:rsid w:val="00922006"/>
    <w:rsid w:val="009223E3"/>
    <w:rsid w:val="00922E53"/>
    <w:rsid w:val="00923C47"/>
    <w:rsid w:val="0092570C"/>
    <w:rsid w:val="009263EB"/>
    <w:rsid w:val="009328C0"/>
    <w:rsid w:val="009330DA"/>
    <w:rsid w:val="00935707"/>
    <w:rsid w:val="00937697"/>
    <w:rsid w:val="00942F09"/>
    <w:rsid w:val="00944308"/>
    <w:rsid w:val="0095029F"/>
    <w:rsid w:val="009503A8"/>
    <w:rsid w:val="00950D49"/>
    <w:rsid w:val="009523D5"/>
    <w:rsid w:val="009545C3"/>
    <w:rsid w:val="00955C21"/>
    <w:rsid w:val="00955E56"/>
    <w:rsid w:val="009612EE"/>
    <w:rsid w:val="00961A84"/>
    <w:rsid w:val="0096293B"/>
    <w:rsid w:val="00964341"/>
    <w:rsid w:val="00965139"/>
    <w:rsid w:val="00965C99"/>
    <w:rsid w:val="00970046"/>
    <w:rsid w:val="00971349"/>
    <w:rsid w:val="009717F2"/>
    <w:rsid w:val="009724DA"/>
    <w:rsid w:val="009729F9"/>
    <w:rsid w:val="00973077"/>
    <w:rsid w:val="00974B0B"/>
    <w:rsid w:val="0098025C"/>
    <w:rsid w:val="009820B5"/>
    <w:rsid w:val="00985273"/>
    <w:rsid w:val="00986234"/>
    <w:rsid w:val="00986FD3"/>
    <w:rsid w:val="00987915"/>
    <w:rsid w:val="009905CA"/>
    <w:rsid w:val="00990D43"/>
    <w:rsid w:val="00992324"/>
    <w:rsid w:val="00992874"/>
    <w:rsid w:val="009929CD"/>
    <w:rsid w:val="009938D3"/>
    <w:rsid w:val="00993C74"/>
    <w:rsid w:val="00994BA9"/>
    <w:rsid w:val="009958E8"/>
    <w:rsid w:val="00997B4F"/>
    <w:rsid w:val="009A1139"/>
    <w:rsid w:val="009A28DF"/>
    <w:rsid w:val="009A2A1D"/>
    <w:rsid w:val="009A32F7"/>
    <w:rsid w:val="009A373D"/>
    <w:rsid w:val="009A41E1"/>
    <w:rsid w:val="009A69FC"/>
    <w:rsid w:val="009B146E"/>
    <w:rsid w:val="009B2399"/>
    <w:rsid w:val="009B2719"/>
    <w:rsid w:val="009B3474"/>
    <w:rsid w:val="009B3476"/>
    <w:rsid w:val="009B35EA"/>
    <w:rsid w:val="009B38A1"/>
    <w:rsid w:val="009B3BE2"/>
    <w:rsid w:val="009B43B6"/>
    <w:rsid w:val="009B4842"/>
    <w:rsid w:val="009B5346"/>
    <w:rsid w:val="009C3495"/>
    <w:rsid w:val="009C3C14"/>
    <w:rsid w:val="009C4B19"/>
    <w:rsid w:val="009C7457"/>
    <w:rsid w:val="009C7DEA"/>
    <w:rsid w:val="009D06E4"/>
    <w:rsid w:val="009D62FD"/>
    <w:rsid w:val="009D7406"/>
    <w:rsid w:val="009D773B"/>
    <w:rsid w:val="009D78EC"/>
    <w:rsid w:val="009D7A2E"/>
    <w:rsid w:val="009D7A64"/>
    <w:rsid w:val="009E0505"/>
    <w:rsid w:val="009E2827"/>
    <w:rsid w:val="009E31C6"/>
    <w:rsid w:val="009E4742"/>
    <w:rsid w:val="009E49CD"/>
    <w:rsid w:val="009E5D2E"/>
    <w:rsid w:val="009E62A6"/>
    <w:rsid w:val="009E6671"/>
    <w:rsid w:val="009E6C25"/>
    <w:rsid w:val="009E6D71"/>
    <w:rsid w:val="009F0F01"/>
    <w:rsid w:val="009F10A4"/>
    <w:rsid w:val="009F334D"/>
    <w:rsid w:val="009F34EF"/>
    <w:rsid w:val="009F6279"/>
    <w:rsid w:val="009F6941"/>
    <w:rsid w:val="009F7603"/>
    <w:rsid w:val="00A01646"/>
    <w:rsid w:val="00A028CC"/>
    <w:rsid w:val="00A03808"/>
    <w:rsid w:val="00A03A68"/>
    <w:rsid w:val="00A052C1"/>
    <w:rsid w:val="00A064BA"/>
    <w:rsid w:val="00A069E1"/>
    <w:rsid w:val="00A06CB6"/>
    <w:rsid w:val="00A0702B"/>
    <w:rsid w:val="00A0742B"/>
    <w:rsid w:val="00A07CF7"/>
    <w:rsid w:val="00A1100E"/>
    <w:rsid w:val="00A119BE"/>
    <w:rsid w:val="00A11BE8"/>
    <w:rsid w:val="00A12DAE"/>
    <w:rsid w:val="00A16414"/>
    <w:rsid w:val="00A16A17"/>
    <w:rsid w:val="00A17FF4"/>
    <w:rsid w:val="00A209B9"/>
    <w:rsid w:val="00A21F8D"/>
    <w:rsid w:val="00A22120"/>
    <w:rsid w:val="00A2225F"/>
    <w:rsid w:val="00A248E9"/>
    <w:rsid w:val="00A257EF"/>
    <w:rsid w:val="00A2618B"/>
    <w:rsid w:val="00A270D4"/>
    <w:rsid w:val="00A27867"/>
    <w:rsid w:val="00A27FD4"/>
    <w:rsid w:val="00A30447"/>
    <w:rsid w:val="00A31A07"/>
    <w:rsid w:val="00A32CD0"/>
    <w:rsid w:val="00A34B3B"/>
    <w:rsid w:val="00A36A82"/>
    <w:rsid w:val="00A36FBF"/>
    <w:rsid w:val="00A401AB"/>
    <w:rsid w:val="00A4042C"/>
    <w:rsid w:val="00A41FBA"/>
    <w:rsid w:val="00A450B1"/>
    <w:rsid w:val="00A4571F"/>
    <w:rsid w:val="00A46954"/>
    <w:rsid w:val="00A50B97"/>
    <w:rsid w:val="00A520D8"/>
    <w:rsid w:val="00A52404"/>
    <w:rsid w:val="00A524EE"/>
    <w:rsid w:val="00A54066"/>
    <w:rsid w:val="00A558C4"/>
    <w:rsid w:val="00A558F4"/>
    <w:rsid w:val="00A55D3E"/>
    <w:rsid w:val="00A5615D"/>
    <w:rsid w:val="00A5739D"/>
    <w:rsid w:val="00A575D7"/>
    <w:rsid w:val="00A6091C"/>
    <w:rsid w:val="00A61446"/>
    <w:rsid w:val="00A62DCF"/>
    <w:rsid w:val="00A65A79"/>
    <w:rsid w:val="00A70F94"/>
    <w:rsid w:val="00A71C54"/>
    <w:rsid w:val="00A71F18"/>
    <w:rsid w:val="00A72288"/>
    <w:rsid w:val="00A73E7E"/>
    <w:rsid w:val="00A75BF9"/>
    <w:rsid w:val="00A813DB"/>
    <w:rsid w:val="00A836CC"/>
    <w:rsid w:val="00A84219"/>
    <w:rsid w:val="00A907F5"/>
    <w:rsid w:val="00A908D6"/>
    <w:rsid w:val="00A93FEA"/>
    <w:rsid w:val="00A94E5E"/>
    <w:rsid w:val="00AA0564"/>
    <w:rsid w:val="00AA38B1"/>
    <w:rsid w:val="00AA468F"/>
    <w:rsid w:val="00AA4DF3"/>
    <w:rsid w:val="00AA7FD0"/>
    <w:rsid w:val="00AB1AFA"/>
    <w:rsid w:val="00AB2A3E"/>
    <w:rsid w:val="00AB448D"/>
    <w:rsid w:val="00AB5AA8"/>
    <w:rsid w:val="00AB5E17"/>
    <w:rsid w:val="00AB6C9D"/>
    <w:rsid w:val="00AB77AC"/>
    <w:rsid w:val="00AB7D71"/>
    <w:rsid w:val="00AC0959"/>
    <w:rsid w:val="00AC0BC6"/>
    <w:rsid w:val="00AC14E2"/>
    <w:rsid w:val="00AC4359"/>
    <w:rsid w:val="00AC65E1"/>
    <w:rsid w:val="00AC6752"/>
    <w:rsid w:val="00AC6E62"/>
    <w:rsid w:val="00AC759E"/>
    <w:rsid w:val="00AC7734"/>
    <w:rsid w:val="00AD1B5E"/>
    <w:rsid w:val="00AD1BB8"/>
    <w:rsid w:val="00AD1D9C"/>
    <w:rsid w:val="00AD2A6F"/>
    <w:rsid w:val="00AD2DC1"/>
    <w:rsid w:val="00AD3831"/>
    <w:rsid w:val="00AD4FDD"/>
    <w:rsid w:val="00AD69D5"/>
    <w:rsid w:val="00AD6BE7"/>
    <w:rsid w:val="00AD76E4"/>
    <w:rsid w:val="00AE219A"/>
    <w:rsid w:val="00AE25D5"/>
    <w:rsid w:val="00AE4E37"/>
    <w:rsid w:val="00AE5272"/>
    <w:rsid w:val="00AE6656"/>
    <w:rsid w:val="00AF0A26"/>
    <w:rsid w:val="00AF1782"/>
    <w:rsid w:val="00AF27AE"/>
    <w:rsid w:val="00AF6364"/>
    <w:rsid w:val="00B00783"/>
    <w:rsid w:val="00B01DD9"/>
    <w:rsid w:val="00B027C8"/>
    <w:rsid w:val="00B03137"/>
    <w:rsid w:val="00B058CD"/>
    <w:rsid w:val="00B05A41"/>
    <w:rsid w:val="00B06E54"/>
    <w:rsid w:val="00B076DA"/>
    <w:rsid w:val="00B0775C"/>
    <w:rsid w:val="00B07B9E"/>
    <w:rsid w:val="00B105E7"/>
    <w:rsid w:val="00B144D3"/>
    <w:rsid w:val="00B14B5E"/>
    <w:rsid w:val="00B202FC"/>
    <w:rsid w:val="00B2198B"/>
    <w:rsid w:val="00B22E11"/>
    <w:rsid w:val="00B25AB7"/>
    <w:rsid w:val="00B25BA3"/>
    <w:rsid w:val="00B25BC1"/>
    <w:rsid w:val="00B262D3"/>
    <w:rsid w:val="00B31931"/>
    <w:rsid w:val="00B32C0B"/>
    <w:rsid w:val="00B349C9"/>
    <w:rsid w:val="00B34EB5"/>
    <w:rsid w:val="00B36641"/>
    <w:rsid w:val="00B3697A"/>
    <w:rsid w:val="00B3734B"/>
    <w:rsid w:val="00B413A1"/>
    <w:rsid w:val="00B4318E"/>
    <w:rsid w:val="00B46D8C"/>
    <w:rsid w:val="00B474DE"/>
    <w:rsid w:val="00B47563"/>
    <w:rsid w:val="00B47711"/>
    <w:rsid w:val="00B4774E"/>
    <w:rsid w:val="00B47DFF"/>
    <w:rsid w:val="00B51560"/>
    <w:rsid w:val="00B54F07"/>
    <w:rsid w:val="00B55AEA"/>
    <w:rsid w:val="00B55FDD"/>
    <w:rsid w:val="00B563F7"/>
    <w:rsid w:val="00B572A1"/>
    <w:rsid w:val="00B60FFF"/>
    <w:rsid w:val="00B62AB2"/>
    <w:rsid w:val="00B63CC3"/>
    <w:rsid w:val="00B663C8"/>
    <w:rsid w:val="00B67C52"/>
    <w:rsid w:val="00B67E4B"/>
    <w:rsid w:val="00B70500"/>
    <w:rsid w:val="00B70B12"/>
    <w:rsid w:val="00B71112"/>
    <w:rsid w:val="00B71238"/>
    <w:rsid w:val="00B722B2"/>
    <w:rsid w:val="00B739B6"/>
    <w:rsid w:val="00B73C5D"/>
    <w:rsid w:val="00B75B6D"/>
    <w:rsid w:val="00B77051"/>
    <w:rsid w:val="00B77E95"/>
    <w:rsid w:val="00B82076"/>
    <w:rsid w:val="00B82FEC"/>
    <w:rsid w:val="00B83CF0"/>
    <w:rsid w:val="00B852C0"/>
    <w:rsid w:val="00B92A27"/>
    <w:rsid w:val="00B9302A"/>
    <w:rsid w:val="00B942D2"/>
    <w:rsid w:val="00B958BE"/>
    <w:rsid w:val="00B96410"/>
    <w:rsid w:val="00B97A25"/>
    <w:rsid w:val="00BA178F"/>
    <w:rsid w:val="00BA2B02"/>
    <w:rsid w:val="00BA4FDF"/>
    <w:rsid w:val="00BA5D9A"/>
    <w:rsid w:val="00BA63E8"/>
    <w:rsid w:val="00BB2475"/>
    <w:rsid w:val="00BB2A85"/>
    <w:rsid w:val="00BB4257"/>
    <w:rsid w:val="00BB4FCC"/>
    <w:rsid w:val="00BB7D14"/>
    <w:rsid w:val="00BC582D"/>
    <w:rsid w:val="00BC5FFA"/>
    <w:rsid w:val="00BE019D"/>
    <w:rsid w:val="00BE0A38"/>
    <w:rsid w:val="00BE178C"/>
    <w:rsid w:val="00BE1AC3"/>
    <w:rsid w:val="00BE60A1"/>
    <w:rsid w:val="00BE7313"/>
    <w:rsid w:val="00BF00D9"/>
    <w:rsid w:val="00BF1978"/>
    <w:rsid w:val="00BF35F8"/>
    <w:rsid w:val="00BF5886"/>
    <w:rsid w:val="00C003B4"/>
    <w:rsid w:val="00C00669"/>
    <w:rsid w:val="00C009C2"/>
    <w:rsid w:val="00C01552"/>
    <w:rsid w:val="00C02063"/>
    <w:rsid w:val="00C030AB"/>
    <w:rsid w:val="00C032EC"/>
    <w:rsid w:val="00C03F10"/>
    <w:rsid w:val="00C04647"/>
    <w:rsid w:val="00C04958"/>
    <w:rsid w:val="00C1121D"/>
    <w:rsid w:val="00C11406"/>
    <w:rsid w:val="00C14D6A"/>
    <w:rsid w:val="00C167B3"/>
    <w:rsid w:val="00C16EC4"/>
    <w:rsid w:val="00C17F4F"/>
    <w:rsid w:val="00C17FE1"/>
    <w:rsid w:val="00C22291"/>
    <w:rsid w:val="00C23BA4"/>
    <w:rsid w:val="00C25340"/>
    <w:rsid w:val="00C258EE"/>
    <w:rsid w:val="00C25F73"/>
    <w:rsid w:val="00C307CB"/>
    <w:rsid w:val="00C3089E"/>
    <w:rsid w:val="00C30F8D"/>
    <w:rsid w:val="00C30FEA"/>
    <w:rsid w:val="00C312CB"/>
    <w:rsid w:val="00C365EE"/>
    <w:rsid w:val="00C36A8D"/>
    <w:rsid w:val="00C40F7B"/>
    <w:rsid w:val="00C4519B"/>
    <w:rsid w:val="00C46393"/>
    <w:rsid w:val="00C471AD"/>
    <w:rsid w:val="00C511AC"/>
    <w:rsid w:val="00C51A8E"/>
    <w:rsid w:val="00C536B2"/>
    <w:rsid w:val="00C539DE"/>
    <w:rsid w:val="00C54F75"/>
    <w:rsid w:val="00C55080"/>
    <w:rsid w:val="00C55613"/>
    <w:rsid w:val="00C559A8"/>
    <w:rsid w:val="00C62026"/>
    <w:rsid w:val="00C6229B"/>
    <w:rsid w:val="00C65361"/>
    <w:rsid w:val="00C65FD0"/>
    <w:rsid w:val="00C679EE"/>
    <w:rsid w:val="00C73213"/>
    <w:rsid w:val="00C7384A"/>
    <w:rsid w:val="00C73F20"/>
    <w:rsid w:val="00C75B85"/>
    <w:rsid w:val="00C75D34"/>
    <w:rsid w:val="00C75F96"/>
    <w:rsid w:val="00C776A8"/>
    <w:rsid w:val="00C808BA"/>
    <w:rsid w:val="00C81193"/>
    <w:rsid w:val="00C81596"/>
    <w:rsid w:val="00C819B4"/>
    <w:rsid w:val="00C84B05"/>
    <w:rsid w:val="00C85689"/>
    <w:rsid w:val="00C85BFF"/>
    <w:rsid w:val="00C86BC3"/>
    <w:rsid w:val="00C87589"/>
    <w:rsid w:val="00C90D85"/>
    <w:rsid w:val="00C912AA"/>
    <w:rsid w:val="00C92180"/>
    <w:rsid w:val="00C9544F"/>
    <w:rsid w:val="00C95F4C"/>
    <w:rsid w:val="00C95F82"/>
    <w:rsid w:val="00CA0A05"/>
    <w:rsid w:val="00CA0CF3"/>
    <w:rsid w:val="00CA190F"/>
    <w:rsid w:val="00CA1BBE"/>
    <w:rsid w:val="00CA2AF8"/>
    <w:rsid w:val="00CA347B"/>
    <w:rsid w:val="00CA3489"/>
    <w:rsid w:val="00CA4546"/>
    <w:rsid w:val="00CA463E"/>
    <w:rsid w:val="00CA5A80"/>
    <w:rsid w:val="00CA6438"/>
    <w:rsid w:val="00CA6FF2"/>
    <w:rsid w:val="00CB0784"/>
    <w:rsid w:val="00CB1382"/>
    <w:rsid w:val="00CB1855"/>
    <w:rsid w:val="00CB1DD2"/>
    <w:rsid w:val="00CB2F3E"/>
    <w:rsid w:val="00CB3953"/>
    <w:rsid w:val="00CB49A4"/>
    <w:rsid w:val="00CB5CAE"/>
    <w:rsid w:val="00CB65D1"/>
    <w:rsid w:val="00CB6CB5"/>
    <w:rsid w:val="00CB774F"/>
    <w:rsid w:val="00CC0E6E"/>
    <w:rsid w:val="00CC3C80"/>
    <w:rsid w:val="00CC680F"/>
    <w:rsid w:val="00CD1955"/>
    <w:rsid w:val="00CD1D75"/>
    <w:rsid w:val="00CD2E50"/>
    <w:rsid w:val="00CD3ACF"/>
    <w:rsid w:val="00CD3E28"/>
    <w:rsid w:val="00CD526D"/>
    <w:rsid w:val="00CD7B78"/>
    <w:rsid w:val="00CE0760"/>
    <w:rsid w:val="00CE599F"/>
    <w:rsid w:val="00CE726B"/>
    <w:rsid w:val="00CE7FBA"/>
    <w:rsid w:val="00CF0930"/>
    <w:rsid w:val="00CF10E3"/>
    <w:rsid w:val="00CF2A9F"/>
    <w:rsid w:val="00CF3707"/>
    <w:rsid w:val="00CF3A29"/>
    <w:rsid w:val="00CF4BF1"/>
    <w:rsid w:val="00CF4CB7"/>
    <w:rsid w:val="00CF77B4"/>
    <w:rsid w:val="00D0265A"/>
    <w:rsid w:val="00D04C3D"/>
    <w:rsid w:val="00D05FF9"/>
    <w:rsid w:val="00D0614B"/>
    <w:rsid w:val="00D07A2C"/>
    <w:rsid w:val="00D111A0"/>
    <w:rsid w:val="00D127D3"/>
    <w:rsid w:val="00D1367D"/>
    <w:rsid w:val="00D142DC"/>
    <w:rsid w:val="00D143E4"/>
    <w:rsid w:val="00D145A2"/>
    <w:rsid w:val="00D1499F"/>
    <w:rsid w:val="00D15A8C"/>
    <w:rsid w:val="00D15F60"/>
    <w:rsid w:val="00D16B97"/>
    <w:rsid w:val="00D170E7"/>
    <w:rsid w:val="00D2014A"/>
    <w:rsid w:val="00D2121F"/>
    <w:rsid w:val="00D236BF"/>
    <w:rsid w:val="00D2438F"/>
    <w:rsid w:val="00D24BF6"/>
    <w:rsid w:val="00D26D40"/>
    <w:rsid w:val="00D27021"/>
    <w:rsid w:val="00D27465"/>
    <w:rsid w:val="00D274DD"/>
    <w:rsid w:val="00D2768A"/>
    <w:rsid w:val="00D3033C"/>
    <w:rsid w:val="00D31049"/>
    <w:rsid w:val="00D31598"/>
    <w:rsid w:val="00D31F48"/>
    <w:rsid w:val="00D33901"/>
    <w:rsid w:val="00D37626"/>
    <w:rsid w:val="00D37A26"/>
    <w:rsid w:val="00D37FC8"/>
    <w:rsid w:val="00D40B83"/>
    <w:rsid w:val="00D4373B"/>
    <w:rsid w:val="00D43B9E"/>
    <w:rsid w:val="00D44E93"/>
    <w:rsid w:val="00D45887"/>
    <w:rsid w:val="00D45FE3"/>
    <w:rsid w:val="00D50297"/>
    <w:rsid w:val="00D50D8E"/>
    <w:rsid w:val="00D514BB"/>
    <w:rsid w:val="00D529E3"/>
    <w:rsid w:val="00D52A37"/>
    <w:rsid w:val="00D54707"/>
    <w:rsid w:val="00D5518C"/>
    <w:rsid w:val="00D554CA"/>
    <w:rsid w:val="00D56B37"/>
    <w:rsid w:val="00D5781E"/>
    <w:rsid w:val="00D618E4"/>
    <w:rsid w:val="00D61BF8"/>
    <w:rsid w:val="00D6359F"/>
    <w:rsid w:val="00D63A10"/>
    <w:rsid w:val="00D6581C"/>
    <w:rsid w:val="00D65C9E"/>
    <w:rsid w:val="00D6626E"/>
    <w:rsid w:val="00D6713E"/>
    <w:rsid w:val="00D72830"/>
    <w:rsid w:val="00D75F25"/>
    <w:rsid w:val="00D76129"/>
    <w:rsid w:val="00D806B7"/>
    <w:rsid w:val="00D812F1"/>
    <w:rsid w:val="00D818EF"/>
    <w:rsid w:val="00D8318D"/>
    <w:rsid w:val="00D83B13"/>
    <w:rsid w:val="00D85586"/>
    <w:rsid w:val="00D8568E"/>
    <w:rsid w:val="00D85DFC"/>
    <w:rsid w:val="00D86F57"/>
    <w:rsid w:val="00D872B9"/>
    <w:rsid w:val="00D87683"/>
    <w:rsid w:val="00D92705"/>
    <w:rsid w:val="00D945DF"/>
    <w:rsid w:val="00D953CA"/>
    <w:rsid w:val="00D97E31"/>
    <w:rsid w:val="00D97EF9"/>
    <w:rsid w:val="00DA011E"/>
    <w:rsid w:val="00DA35F4"/>
    <w:rsid w:val="00DA3826"/>
    <w:rsid w:val="00DA396E"/>
    <w:rsid w:val="00DA45C5"/>
    <w:rsid w:val="00DA4629"/>
    <w:rsid w:val="00DB2AA3"/>
    <w:rsid w:val="00DB3C62"/>
    <w:rsid w:val="00DB5D3D"/>
    <w:rsid w:val="00DB6EF0"/>
    <w:rsid w:val="00DB7021"/>
    <w:rsid w:val="00DB7CD6"/>
    <w:rsid w:val="00DC0D63"/>
    <w:rsid w:val="00DC1E1D"/>
    <w:rsid w:val="00DC28A7"/>
    <w:rsid w:val="00DC35E3"/>
    <w:rsid w:val="00DC37DA"/>
    <w:rsid w:val="00DC46BA"/>
    <w:rsid w:val="00DC56BE"/>
    <w:rsid w:val="00DD01C7"/>
    <w:rsid w:val="00DD14DA"/>
    <w:rsid w:val="00DD27CB"/>
    <w:rsid w:val="00DD482D"/>
    <w:rsid w:val="00DD4EFB"/>
    <w:rsid w:val="00DD5AC1"/>
    <w:rsid w:val="00DD5B65"/>
    <w:rsid w:val="00DD6A0E"/>
    <w:rsid w:val="00DD6E66"/>
    <w:rsid w:val="00DE1512"/>
    <w:rsid w:val="00DE1BC1"/>
    <w:rsid w:val="00DE2E28"/>
    <w:rsid w:val="00DE6ACD"/>
    <w:rsid w:val="00DE7DEF"/>
    <w:rsid w:val="00DF1CB1"/>
    <w:rsid w:val="00DF3454"/>
    <w:rsid w:val="00DF40AB"/>
    <w:rsid w:val="00DF466D"/>
    <w:rsid w:val="00DF4D0E"/>
    <w:rsid w:val="00DF4F39"/>
    <w:rsid w:val="00E004F0"/>
    <w:rsid w:val="00E00EEF"/>
    <w:rsid w:val="00E01676"/>
    <w:rsid w:val="00E01C3F"/>
    <w:rsid w:val="00E02AA5"/>
    <w:rsid w:val="00E033C3"/>
    <w:rsid w:val="00E03C1E"/>
    <w:rsid w:val="00E0412B"/>
    <w:rsid w:val="00E05196"/>
    <w:rsid w:val="00E05324"/>
    <w:rsid w:val="00E11304"/>
    <w:rsid w:val="00E116BF"/>
    <w:rsid w:val="00E11F1B"/>
    <w:rsid w:val="00E14061"/>
    <w:rsid w:val="00E158AE"/>
    <w:rsid w:val="00E15E79"/>
    <w:rsid w:val="00E17D77"/>
    <w:rsid w:val="00E22034"/>
    <w:rsid w:val="00E222C8"/>
    <w:rsid w:val="00E248F3"/>
    <w:rsid w:val="00E2609F"/>
    <w:rsid w:val="00E2667E"/>
    <w:rsid w:val="00E267ED"/>
    <w:rsid w:val="00E30436"/>
    <w:rsid w:val="00E31A24"/>
    <w:rsid w:val="00E340C6"/>
    <w:rsid w:val="00E353D8"/>
    <w:rsid w:val="00E36EF9"/>
    <w:rsid w:val="00E40196"/>
    <w:rsid w:val="00E40430"/>
    <w:rsid w:val="00E40745"/>
    <w:rsid w:val="00E429DA"/>
    <w:rsid w:val="00E45360"/>
    <w:rsid w:val="00E46B76"/>
    <w:rsid w:val="00E5010C"/>
    <w:rsid w:val="00E50670"/>
    <w:rsid w:val="00E54A08"/>
    <w:rsid w:val="00E54FD8"/>
    <w:rsid w:val="00E55962"/>
    <w:rsid w:val="00E56DB5"/>
    <w:rsid w:val="00E573B0"/>
    <w:rsid w:val="00E61553"/>
    <w:rsid w:val="00E61BBF"/>
    <w:rsid w:val="00E657D3"/>
    <w:rsid w:val="00E66D80"/>
    <w:rsid w:val="00E706EC"/>
    <w:rsid w:val="00E70CF3"/>
    <w:rsid w:val="00E740B3"/>
    <w:rsid w:val="00E75F5F"/>
    <w:rsid w:val="00E76C1A"/>
    <w:rsid w:val="00E76DEA"/>
    <w:rsid w:val="00E77438"/>
    <w:rsid w:val="00E834BA"/>
    <w:rsid w:val="00E83E15"/>
    <w:rsid w:val="00E845E4"/>
    <w:rsid w:val="00E84D1D"/>
    <w:rsid w:val="00E8588D"/>
    <w:rsid w:val="00E85E8E"/>
    <w:rsid w:val="00E86082"/>
    <w:rsid w:val="00E86B0F"/>
    <w:rsid w:val="00E8727E"/>
    <w:rsid w:val="00E879E5"/>
    <w:rsid w:val="00E902D9"/>
    <w:rsid w:val="00E91589"/>
    <w:rsid w:val="00E92640"/>
    <w:rsid w:val="00E92EC5"/>
    <w:rsid w:val="00E93290"/>
    <w:rsid w:val="00E940C7"/>
    <w:rsid w:val="00E96580"/>
    <w:rsid w:val="00E966CB"/>
    <w:rsid w:val="00E9752A"/>
    <w:rsid w:val="00EA03BD"/>
    <w:rsid w:val="00EA0421"/>
    <w:rsid w:val="00EA06E6"/>
    <w:rsid w:val="00EA38F1"/>
    <w:rsid w:val="00EA443F"/>
    <w:rsid w:val="00EA75ED"/>
    <w:rsid w:val="00EB1190"/>
    <w:rsid w:val="00EB2D9F"/>
    <w:rsid w:val="00EB3D43"/>
    <w:rsid w:val="00EB48CD"/>
    <w:rsid w:val="00EB5516"/>
    <w:rsid w:val="00EB71EC"/>
    <w:rsid w:val="00EB773F"/>
    <w:rsid w:val="00EC05E0"/>
    <w:rsid w:val="00EC089E"/>
    <w:rsid w:val="00EC0D08"/>
    <w:rsid w:val="00EC5CB8"/>
    <w:rsid w:val="00EC6A04"/>
    <w:rsid w:val="00EC7D56"/>
    <w:rsid w:val="00ED1196"/>
    <w:rsid w:val="00ED186C"/>
    <w:rsid w:val="00ED528B"/>
    <w:rsid w:val="00ED5CCB"/>
    <w:rsid w:val="00ED696F"/>
    <w:rsid w:val="00ED6B9F"/>
    <w:rsid w:val="00ED7C8D"/>
    <w:rsid w:val="00EE12DA"/>
    <w:rsid w:val="00EE1407"/>
    <w:rsid w:val="00EE1652"/>
    <w:rsid w:val="00EE1B65"/>
    <w:rsid w:val="00EE2AF0"/>
    <w:rsid w:val="00EE3F38"/>
    <w:rsid w:val="00EE43D2"/>
    <w:rsid w:val="00EE459C"/>
    <w:rsid w:val="00EE48D4"/>
    <w:rsid w:val="00EE4B39"/>
    <w:rsid w:val="00EE54CE"/>
    <w:rsid w:val="00EE7E4C"/>
    <w:rsid w:val="00EF020B"/>
    <w:rsid w:val="00EF1BC6"/>
    <w:rsid w:val="00EF370D"/>
    <w:rsid w:val="00EF4078"/>
    <w:rsid w:val="00EF660B"/>
    <w:rsid w:val="00EF6F0C"/>
    <w:rsid w:val="00EF7529"/>
    <w:rsid w:val="00EF7E81"/>
    <w:rsid w:val="00F02DC5"/>
    <w:rsid w:val="00F037E0"/>
    <w:rsid w:val="00F039AC"/>
    <w:rsid w:val="00F052C0"/>
    <w:rsid w:val="00F061DC"/>
    <w:rsid w:val="00F10967"/>
    <w:rsid w:val="00F10BC8"/>
    <w:rsid w:val="00F11B1C"/>
    <w:rsid w:val="00F1239C"/>
    <w:rsid w:val="00F12B77"/>
    <w:rsid w:val="00F13978"/>
    <w:rsid w:val="00F14EE5"/>
    <w:rsid w:val="00F16BEC"/>
    <w:rsid w:val="00F174FE"/>
    <w:rsid w:val="00F203E9"/>
    <w:rsid w:val="00F20ABC"/>
    <w:rsid w:val="00F2101E"/>
    <w:rsid w:val="00F2190C"/>
    <w:rsid w:val="00F21D83"/>
    <w:rsid w:val="00F22093"/>
    <w:rsid w:val="00F22F01"/>
    <w:rsid w:val="00F23E35"/>
    <w:rsid w:val="00F2408C"/>
    <w:rsid w:val="00F26B02"/>
    <w:rsid w:val="00F26D5B"/>
    <w:rsid w:val="00F30F73"/>
    <w:rsid w:val="00F3276B"/>
    <w:rsid w:val="00F3280A"/>
    <w:rsid w:val="00F331EF"/>
    <w:rsid w:val="00F3504E"/>
    <w:rsid w:val="00F36052"/>
    <w:rsid w:val="00F40307"/>
    <w:rsid w:val="00F41453"/>
    <w:rsid w:val="00F427A7"/>
    <w:rsid w:val="00F42C8B"/>
    <w:rsid w:val="00F42E6B"/>
    <w:rsid w:val="00F43C9F"/>
    <w:rsid w:val="00F44007"/>
    <w:rsid w:val="00F461CC"/>
    <w:rsid w:val="00F52067"/>
    <w:rsid w:val="00F52C8C"/>
    <w:rsid w:val="00F53FC6"/>
    <w:rsid w:val="00F55576"/>
    <w:rsid w:val="00F55874"/>
    <w:rsid w:val="00F55EFD"/>
    <w:rsid w:val="00F634A0"/>
    <w:rsid w:val="00F63B9A"/>
    <w:rsid w:val="00F64287"/>
    <w:rsid w:val="00F6501E"/>
    <w:rsid w:val="00F660B9"/>
    <w:rsid w:val="00F66D4B"/>
    <w:rsid w:val="00F70197"/>
    <w:rsid w:val="00F709E9"/>
    <w:rsid w:val="00F71494"/>
    <w:rsid w:val="00F71C6D"/>
    <w:rsid w:val="00F72237"/>
    <w:rsid w:val="00F731AD"/>
    <w:rsid w:val="00F74392"/>
    <w:rsid w:val="00F74B31"/>
    <w:rsid w:val="00F75777"/>
    <w:rsid w:val="00F75DF5"/>
    <w:rsid w:val="00F81D9F"/>
    <w:rsid w:val="00F835B0"/>
    <w:rsid w:val="00F84F21"/>
    <w:rsid w:val="00F8502D"/>
    <w:rsid w:val="00F85843"/>
    <w:rsid w:val="00F85B7C"/>
    <w:rsid w:val="00F877FD"/>
    <w:rsid w:val="00F8789B"/>
    <w:rsid w:val="00F87E02"/>
    <w:rsid w:val="00F90512"/>
    <w:rsid w:val="00F917A1"/>
    <w:rsid w:val="00F92281"/>
    <w:rsid w:val="00F94194"/>
    <w:rsid w:val="00F94685"/>
    <w:rsid w:val="00F953CC"/>
    <w:rsid w:val="00F95516"/>
    <w:rsid w:val="00FA0471"/>
    <w:rsid w:val="00FA092E"/>
    <w:rsid w:val="00FA0E1A"/>
    <w:rsid w:val="00FA3201"/>
    <w:rsid w:val="00FA3B2E"/>
    <w:rsid w:val="00FA6305"/>
    <w:rsid w:val="00FA68F1"/>
    <w:rsid w:val="00FA765E"/>
    <w:rsid w:val="00FA7F01"/>
    <w:rsid w:val="00FB04CE"/>
    <w:rsid w:val="00FB21AD"/>
    <w:rsid w:val="00FB2261"/>
    <w:rsid w:val="00FB46BF"/>
    <w:rsid w:val="00FB52A9"/>
    <w:rsid w:val="00FB55B7"/>
    <w:rsid w:val="00FB56C6"/>
    <w:rsid w:val="00FB5A93"/>
    <w:rsid w:val="00FB7C6D"/>
    <w:rsid w:val="00FC066B"/>
    <w:rsid w:val="00FC08E9"/>
    <w:rsid w:val="00FC1E1F"/>
    <w:rsid w:val="00FC201D"/>
    <w:rsid w:val="00FC2239"/>
    <w:rsid w:val="00FC354F"/>
    <w:rsid w:val="00FC4687"/>
    <w:rsid w:val="00FC652A"/>
    <w:rsid w:val="00FC7F7A"/>
    <w:rsid w:val="00FD0671"/>
    <w:rsid w:val="00FD0CE7"/>
    <w:rsid w:val="00FD156C"/>
    <w:rsid w:val="00FD4CD3"/>
    <w:rsid w:val="00FD4F97"/>
    <w:rsid w:val="00FD4FA1"/>
    <w:rsid w:val="00FD6749"/>
    <w:rsid w:val="00FD7047"/>
    <w:rsid w:val="00FE03A6"/>
    <w:rsid w:val="00FE2666"/>
    <w:rsid w:val="00FE34A0"/>
    <w:rsid w:val="00FE4E8E"/>
    <w:rsid w:val="00FE6F17"/>
    <w:rsid w:val="00FE7273"/>
    <w:rsid w:val="00FF1960"/>
    <w:rsid w:val="00FF2CB6"/>
    <w:rsid w:val="00FF3D55"/>
    <w:rsid w:val="02184AB9"/>
    <w:rsid w:val="045FB7AC"/>
    <w:rsid w:val="079C3F85"/>
    <w:rsid w:val="0951ACA3"/>
    <w:rsid w:val="0CEC5526"/>
    <w:rsid w:val="100094AF"/>
    <w:rsid w:val="12A11967"/>
    <w:rsid w:val="14350250"/>
    <w:rsid w:val="19087373"/>
    <w:rsid w:val="1B451701"/>
    <w:rsid w:val="20B49CBE"/>
    <w:rsid w:val="219CF522"/>
    <w:rsid w:val="29F931D3"/>
    <w:rsid w:val="2A08746C"/>
    <w:rsid w:val="2CE3FF1B"/>
    <w:rsid w:val="2E0C4A4A"/>
    <w:rsid w:val="2F160324"/>
    <w:rsid w:val="32BB414F"/>
    <w:rsid w:val="3648CFCA"/>
    <w:rsid w:val="3787AFCF"/>
    <w:rsid w:val="37EBC26D"/>
    <w:rsid w:val="38B26C62"/>
    <w:rsid w:val="398792CE"/>
    <w:rsid w:val="3BFDFD49"/>
    <w:rsid w:val="3D22389B"/>
    <w:rsid w:val="403BAF97"/>
    <w:rsid w:val="40CAB4B8"/>
    <w:rsid w:val="423197A1"/>
    <w:rsid w:val="46A2ED69"/>
    <w:rsid w:val="47BAB15A"/>
    <w:rsid w:val="4A712EEC"/>
    <w:rsid w:val="4BD230BE"/>
    <w:rsid w:val="4D6507AF"/>
    <w:rsid w:val="52FDF84A"/>
    <w:rsid w:val="53CE384F"/>
    <w:rsid w:val="545352C1"/>
    <w:rsid w:val="550BAD05"/>
    <w:rsid w:val="5521167D"/>
    <w:rsid w:val="5913BA7A"/>
    <w:rsid w:val="5B8399AC"/>
    <w:rsid w:val="5C09FABA"/>
    <w:rsid w:val="5C0C8B31"/>
    <w:rsid w:val="5EA73665"/>
    <w:rsid w:val="6044A108"/>
    <w:rsid w:val="65115395"/>
    <w:rsid w:val="688CBC56"/>
    <w:rsid w:val="699878B6"/>
    <w:rsid w:val="6F530747"/>
    <w:rsid w:val="6FEE91DD"/>
    <w:rsid w:val="72631FCF"/>
    <w:rsid w:val="72943C25"/>
    <w:rsid w:val="7583E9B0"/>
    <w:rsid w:val="765DD361"/>
    <w:rsid w:val="799D61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4117A3"/>
  <w15:docId w15:val="{7227E438-4F83-4D96-A4A8-501FC082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0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B60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F1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B12"/>
  </w:style>
  <w:style w:type="paragraph" w:styleId="Footer">
    <w:name w:val="footer"/>
    <w:basedOn w:val="Normal"/>
    <w:link w:val="FooterChar"/>
    <w:uiPriority w:val="99"/>
    <w:unhideWhenUsed/>
    <w:rsid w:val="00B70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B12"/>
  </w:style>
  <w:style w:type="character" w:styleId="Hyperlink">
    <w:name w:val="Hyperlink"/>
    <w:basedOn w:val="DefaultParagraphFont"/>
    <w:rsid w:val="00B70B12"/>
    <w:rPr>
      <w:color w:val="0000FF"/>
      <w:u w:val="single"/>
    </w:rPr>
  </w:style>
  <w:style w:type="character" w:customStyle="1" w:styleId="highlight">
    <w:name w:val="highlight"/>
    <w:basedOn w:val="DefaultParagraphFont"/>
    <w:rsid w:val="00606FDD"/>
  </w:style>
  <w:style w:type="paragraph" w:styleId="BalloonText">
    <w:name w:val="Balloon Text"/>
    <w:basedOn w:val="Normal"/>
    <w:link w:val="BalloonTextChar"/>
    <w:uiPriority w:val="99"/>
    <w:semiHidden/>
    <w:unhideWhenUsed/>
    <w:rsid w:val="00F2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093"/>
    <w:rPr>
      <w:rFonts w:ascii="Segoe UI" w:hAnsi="Segoe UI" w:cs="Segoe UI"/>
      <w:sz w:val="18"/>
      <w:szCs w:val="18"/>
    </w:rPr>
  </w:style>
  <w:style w:type="paragraph" w:styleId="ListParagraph">
    <w:name w:val="List Paragraph"/>
    <w:basedOn w:val="Normal"/>
    <w:uiPriority w:val="1"/>
    <w:qFormat/>
    <w:rsid w:val="00A028CC"/>
    <w:pPr>
      <w:suppressAutoHyphens/>
      <w:autoSpaceDN w:val="0"/>
      <w:spacing w:after="160" w:line="256" w:lineRule="auto"/>
      <w:ind w:left="720"/>
      <w:textAlignment w:val="baseline"/>
    </w:pPr>
    <w:rPr>
      <w:rFonts w:ascii="Calibri" w:eastAsia="Calibri" w:hAnsi="Calibri" w:cs="Times New Roman"/>
    </w:rPr>
  </w:style>
  <w:style w:type="paragraph" w:styleId="FootnoteText">
    <w:name w:val="footnote text"/>
    <w:basedOn w:val="Normal"/>
    <w:link w:val="FootnoteTextChar"/>
    <w:uiPriority w:val="99"/>
    <w:unhideWhenUsed/>
    <w:rsid w:val="00261435"/>
    <w:pPr>
      <w:spacing w:after="0" w:line="240" w:lineRule="auto"/>
    </w:pPr>
    <w:rPr>
      <w:sz w:val="20"/>
      <w:szCs w:val="20"/>
    </w:rPr>
  </w:style>
  <w:style w:type="character" w:customStyle="1" w:styleId="FootnoteTextChar">
    <w:name w:val="Footnote Text Char"/>
    <w:basedOn w:val="DefaultParagraphFont"/>
    <w:link w:val="FootnoteText"/>
    <w:uiPriority w:val="99"/>
    <w:rsid w:val="00261435"/>
    <w:rPr>
      <w:sz w:val="20"/>
      <w:szCs w:val="20"/>
    </w:rPr>
  </w:style>
  <w:style w:type="character" w:styleId="FootnoteReference">
    <w:name w:val="footnote reference"/>
    <w:basedOn w:val="DefaultParagraphFont"/>
    <w:uiPriority w:val="99"/>
    <w:semiHidden/>
    <w:unhideWhenUsed/>
    <w:rsid w:val="00261435"/>
    <w:rPr>
      <w:vertAlign w:val="superscript"/>
    </w:rPr>
  </w:style>
  <w:style w:type="paragraph" w:styleId="NormalWeb">
    <w:name w:val="Normal (Web)"/>
    <w:basedOn w:val="Normal"/>
    <w:uiPriority w:val="99"/>
    <w:unhideWhenUsed/>
    <w:rsid w:val="00CF10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CF10E3"/>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CF10E3"/>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F7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1A22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rsid w:val="00F42C8B"/>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F42C8B"/>
  </w:style>
  <w:style w:type="character" w:customStyle="1" w:styleId="Hyperlink2">
    <w:name w:val="Hyperlink.2"/>
    <w:basedOn w:val="DefaultParagraphFont"/>
    <w:rsid w:val="00F42C8B"/>
    <w:rPr>
      <w:color w:val="0000FF"/>
      <w:u w:val="single" w:color="0000FF"/>
    </w:rPr>
  </w:style>
  <w:style w:type="character" w:styleId="CommentReference">
    <w:name w:val="annotation reference"/>
    <w:basedOn w:val="DefaultParagraphFont"/>
    <w:uiPriority w:val="99"/>
    <w:semiHidden/>
    <w:unhideWhenUsed/>
    <w:rsid w:val="00F42C8B"/>
    <w:rPr>
      <w:sz w:val="16"/>
      <w:szCs w:val="16"/>
    </w:rPr>
  </w:style>
  <w:style w:type="paragraph" w:styleId="CommentText">
    <w:name w:val="annotation text"/>
    <w:basedOn w:val="Normal"/>
    <w:link w:val="CommentTextChar"/>
    <w:uiPriority w:val="99"/>
    <w:unhideWhenUsed/>
    <w:rsid w:val="00F42C8B"/>
    <w:pPr>
      <w:spacing w:line="240" w:lineRule="auto"/>
    </w:pPr>
    <w:rPr>
      <w:sz w:val="20"/>
      <w:szCs w:val="20"/>
    </w:rPr>
  </w:style>
  <w:style w:type="character" w:customStyle="1" w:styleId="CommentTextChar">
    <w:name w:val="Comment Text Char"/>
    <w:basedOn w:val="DefaultParagraphFont"/>
    <w:link w:val="CommentText"/>
    <w:uiPriority w:val="99"/>
    <w:rsid w:val="00F42C8B"/>
    <w:rPr>
      <w:sz w:val="20"/>
      <w:szCs w:val="20"/>
    </w:rPr>
  </w:style>
  <w:style w:type="paragraph" w:customStyle="1" w:styleId="BodyAA">
    <w:name w:val="Body A A"/>
    <w:rsid w:val="009938D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nl-NL" w:eastAsia="en-GB"/>
    </w:rPr>
  </w:style>
  <w:style w:type="paragraph" w:customStyle="1" w:styleId="BodyC">
    <w:name w:val="Body C"/>
    <w:basedOn w:val="Normal"/>
    <w:rsid w:val="005F5C5B"/>
    <w:pPr>
      <w:spacing w:after="0" w:line="240" w:lineRule="auto"/>
    </w:pPr>
    <w:rPr>
      <w:rFonts w:ascii="Times New Roman" w:hAnsi="Times New Roman" w:cs="Times New Roman"/>
      <w:color w:val="000000"/>
      <w:sz w:val="24"/>
      <w:szCs w:val="24"/>
      <w:lang w:val="fr-BE" w:eastAsia="fr-BE"/>
    </w:rPr>
  </w:style>
  <w:style w:type="paragraph" w:styleId="CommentSubject">
    <w:name w:val="annotation subject"/>
    <w:basedOn w:val="CommentText"/>
    <w:next w:val="CommentText"/>
    <w:link w:val="CommentSubjectChar"/>
    <w:uiPriority w:val="99"/>
    <w:semiHidden/>
    <w:unhideWhenUsed/>
    <w:rsid w:val="00A2225F"/>
    <w:rPr>
      <w:b/>
      <w:bCs/>
    </w:rPr>
  </w:style>
  <w:style w:type="character" w:customStyle="1" w:styleId="CommentSubjectChar">
    <w:name w:val="Comment Subject Char"/>
    <w:basedOn w:val="CommentTextChar"/>
    <w:link w:val="CommentSubject"/>
    <w:uiPriority w:val="99"/>
    <w:semiHidden/>
    <w:rsid w:val="00A2225F"/>
    <w:rPr>
      <w:b/>
      <w:bCs/>
      <w:sz w:val="20"/>
      <w:szCs w:val="20"/>
    </w:rPr>
  </w:style>
  <w:style w:type="character" w:customStyle="1" w:styleId="Mentionnonrsolue1">
    <w:name w:val="Mention non résolue1"/>
    <w:basedOn w:val="DefaultParagraphFont"/>
    <w:uiPriority w:val="99"/>
    <w:semiHidden/>
    <w:unhideWhenUsed/>
    <w:rsid w:val="002B50FC"/>
    <w:rPr>
      <w:color w:val="605E5C"/>
      <w:shd w:val="clear" w:color="auto" w:fill="E1DFDD"/>
    </w:rPr>
  </w:style>
  <w:style w:type="character" w:styleId="FollowedHyperlink">
    <w:name w:val="FollowedHyperlink"/>
    <w:basedOn w:val="DefaultParagraphFont"/>
    <w:uiPriority w:val="99"/>
    <w:semiHidden/>
    <w:unhideWhenUsed/>
    <w:rsid w:val="002B50FC"/>
    <w:rPr>
      <w:color w:val="800080" w:themeColor="followedHyperlink"/>
      <w:u w:val="single"/>
    </w:rPr>
  </w:style>
  <w:style w:type="character" w:styleId="UnresolvedMention">
    <w:name w:val="Unresolved Mention"/>
    <w:basedOn w:val="DefaultParagraphFont"/>
    <w:uiPriority w:val="99"/>
    <w:semiHidden/>
    <w:unhideWhenUsed/>
    <w:rsid w:val="00327A8A"/>
    <w:rPr>
      <w:color w:val="605E5C"/>
      <w:shd w:val="clear" w:color="auto" w:fill="E1DFDD"/>
    </w:rPr>
  </w:style>
  <w:style w:type="paragraph" w:styleId="EndnoteText">
    <w:name w:val="endnote text"/>
    <w:basedOn w:val="Normal"/>
    <w:link w:val="EndnoteTextChar"/>
    <w:uiPriority w:val="99"/>
    <w:semiHidden/>
    <w:unhideWhenUsed/>
    <w:rsid w:val="00AD2D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DC1"/>
    <w:rPr>
      <w:sz w:val="20"/>
      <w:szCs w:val="20"/>
    </w:rPr>
  </w:style>
  <w:style w:type="character" w:styleId="EndnoteReference">
    <w:name w:val="endnote reference"/>
    <w:basedOn w:val="DefaultParagraphFont"/>
    <w:uiPriority w:val="99"/>
    <w:semiHidden/>
    <w:unhideWhenUsed/>
    <w:rsid w:val="00AD2DC1"/>
    <w:rPr>
      <w:vertAlign w:val="superscript"/>
    </w:rPr>
  </w:style>
  <w:style w:type="paragraph" w:customStyle="1" w:styleId="Default">
    <w:name w:val="Default"/>
    <w:rsid w:val="00AD76E4"/>
    <w:pPr>
      <w:autoSpaceDE w:val="0"/>
      <w:autoSpaceDN w:val="0"/>
      <w:adjustRightInd w:val="0"/>
      <w:spacing w:after="0" w:line="240" w:lineRule="auto"/>
    </w:pPr>
    <w:rPr>
      <w:rFonts w:ascii="Arial" w:hAnsi="Arial" w:cs="Arial"/>
      <w:color w:val="000000"/>
      <w:sz w:val="24"/>
      <w:szCs w:val="24"/>
      <w:lang w:val="fr-BE"/>
    </w:rPr>
  </w:style>
  <w:style w:type="character" w:styleId="Strong">
    <w:name w:val="Strong"/>
    <w:basedOn w:val="DefaultParagraphFont"/>
    <w:uiPriority w:val="22"/>
    <w:qFormat/>
    <w:rsid w:val="002F1CCF"/>
    <w:rPr>
      <w:b/>
      <w:bCs/>
    </w:rPr>
  </w:style>
  <w:style w:type="paragraph" w:customStyle="1" w:styleId="TableParagraph">
    <w:name w:val="Table Paragraph"/>
    <w:basedOn w:val="Normal"/>
    <w:uiPriority w:val="1"/>
    <w:qFormat/>
    <w:rsid w:val="0000557B"/>
    <w:pPr>
      <w:widowControl w:val="0"/>
      <w:autoSpaceDE w:val="0"/>
      <w:autoSpaceDN w:val="0"/>
      <w:spacing w:after="0" w:line="240" w:lineRule="auto"/>
    </w:pPr>
    <w:rPr>
      <w:rFonts w:ascii="Trebuchet MS" w:eastAsia="Trebuchet MS" w:hAnsi="Trebuchet MS" w:cs="Trebuchet MS"/>
      <w:lang w:val="en-US"/>
    </w:rPr>
  </w:style>
  <w:style w:type="character" w:customStyle="1" w:styleId="Heading2Char">
    <w:name w:val="Heading 2 Char"/>
    <w:basedOn w:val="DefaultParagraphFont"/>
    <w:link w:val="Heading2"/>
    <w:uiPriority w:val="9"/>
    <w:rsid w:val="002B60B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2B60B2"/>
    <w:pPr>
      <w:widowControl w:val="0"/>
      <w:autoSpaceDE w:val="0"/>
      <w:autoSpaceDN w:val="0"/>
      <w:spacing w:after="0" w:line="240" w:lineRule="auto"/>
      <w:ind w:left="165"/>
      <w:jc w:val="both"/>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2B60B2"/>
    <w:rPr>
      <w:rFonts w:ascii="Trebuchet MS" w:eastAsia="Trebuchet MS" w:hAnsi="Trebuchet MS" w:cs="Trebuchet MS"/>
      <w:lang w:val="en-US"/>
    </w:rPr>
  </w:style>
  <w:style w:type="paragraph" w:styleId="Title">
    <w:name w:val="Title"/>
    <w:basedOn w:val="Normal"/>
    <w:link w:val="TitleChar"/>
    <w:uiPriority w:val="10"/>
    <w:qFormat/>
    <w:rsid w:val="002B60B2"/>
    <w:pPr>
      <w:widowControl w:val="0"/>
      <w:autoSpaceDE w:val="0"/>
      <w:autoSpaceDN w:val="0"/>
      <w:spacing w:before="90" w:after="0" w:line="240" w:lineRule="auto"/>
      <w:ind w:left="141" w:right="4"/>
      <w:jc w:val="center"/>
    </w:pPr>
    <w:rPr>
      <w:rFonts w:ascii="Trebuchet MS" w:eastAsia="Trebuchet MS" w:hAnsi="Trebuchet MS" w:cs="Trebuchet MS"/>
      <w:b/>
      <w:bCs/>
      <w:sz w:val="44"/>
      <w:szCs w:val="44"/>
      <w:lang w:val="en-US"/>
    </w:rPr>
  </w:style>
  <w:style w:type="character" w:customStyle="1" w:styleId="TitleChar">
    <w:name w:val="Title Char"/>
    <w:basedOn w:val="DefaultParagraphFont"/>
    <w:link w:val="Title"/>
    <w:uiPriority w:val="10"/>
    <w:rsid w:val="002B60B2"/>
    <w:rPr>
      <w:rFonts w:ascii="Trebuchet MS" w:eastAsia="Trebuchet MS" w:hAnsi="Trebuchet MS" w:cs="Trebuchet MS"/>
      <w:b/>
      <w:bCs/>
      <w:sz w:val="44"/>
      <w:szCs w:val="44"/>
      <w:lang w:val="en-US"/>
    </w:rPr>
  </w:style>
  <w:style w:type="paragraph" w:styleId="Revision">
    <w:name w:val="Revision"/>
    <w:hidden/>
    <w:uiPriority w:val="99"/>
    <w:semiHidden/>
    <w:rsid w:val="00F24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0366">
      <w:bodyDiv w:val="1"/>
      <w:marLeft w:val="0"/>
      <w:marRight w:val="0"/>
      <w:marTop w:val="0"/>
      <w:marBottom w:val="0"/>
      <w:divBdr>
        <w:top w:val="none" w:sz="0" w:space="0" w:color="auto"/>
        <w:left w:val="none" w:sz="0" w:space="0" w:color="auto"/>
        <w:bottom w:val="none" w:sz="0" w:space="0" w:color="auto"/>
        <w:right w:val="none" w:sz="0" w:space="0" w:color="auto"/>
      </w:divBdr>
    </w:div>
    <w:div w:id="313946531">
      <w:bodyDiv w:val="1"/>
      <w:marLeft w:val="0"/>
      <w:marRight w:val="0"/>
      <w:marTop w:val="0"/>
      <w:marBottom w:val="0"/>
      <w:divBdr>
        <w:top w:val="none" w:sz="0" w:space="0" w:color="auto"/>
        <w:left w:val="none" w:sz="0" w:space="0" w:color="auto"/>
        <w:bottom w:val="none" w:sz="0" w:space="0" w:color="auto"/>
        <w:right w:val="none" w:sz="0" w:space="0" w:color="auto"/>
      </w:divBdr>
    </w:div>
    <w:div w:id="452331370">
      <w:bodyDiv w:val="1"/>
      <w:marLeft w:val="0"/>
      <w:marRight w:val="0"/>
      <w:marTop w:val="0"/>
      <w:marBottom w:val="0"/>
      <w:divBdr>
        <w:top w:val="none" w:sz="0" w:space="0" w:color="auto"/>
        <w:left w:val="none" w:sz="0" w:space="0" w:color="auto"/>
        <w:bottom w:val="none" w:sz="0" w:space="0" w:color="auto"/>
        <w:right w:val="none" w:sz="0" w:space="0" w:color="auto"/>
      </w:divBdr>
    </w:div>
    <w:div w:id="684940453">
      <w:bodyDiv w:val="1"/>
      <w:marLeft w:val="0"/>
      <w:marRight w:val="0"/>
      <w:marTop w:val="0"/>
      <w:marBottom w:val="0"/>
      <w:divBdr>
        <w:top w:val="none" w:sz="0" w:space="0" w:color="auto"/>
        <w:left w:val="none" w:sz="0" w:space="0" w:color="auto"/>
        <w:bottom w:val="none" w:sz="0" w:space="0" w:color="auto"/>
        <w:right w:val="none" w:sz="0" w:space="0" w:color="auto"/>
      </w:divBdr>
    </w:div>
    <w:div w:id="714232901">
      <w:bodyDiv w:val="1"/>
      <w:marLeft w:val="0"/>
      <w:marRight w:val="0"/>
      <w:marTop w:val="0"/>
      <w:marBottom w:val="0"/>
      <w:divBdr>
        <w:top w:val="none" w:sz="0" w:space="0" w:color="auto"/>
        <w:left w:val="none" w:sz="0" w:space="0" w:color="auto"/>
        <w:bottom w:val="none" w:sz="0" w:space="0" w:color="auto"/>
        <w:right w:val="none" w:sz="0" w:space="0" w:color="auto"/>
      </w:divBdr>
    </w:div>
    <w:div w:id="717238747">
      <w:bodyDiv w:val="1"/>
      <w:marLeft w:val="0"/>
      <w:marRight w:val="0"/>
      <w:marTop w:val="0"/>
      <w:marBottom w:val="0"/>
      <w:divBdr>
        <w:top w:val="none" w:sz="0" w:space="0" w:color="auto"/>
        <w:left w:val="none" w:sz="0" w:space="0" w:color="auto"/>
        <w:bottom w:val="none" w:sz="0" w:space="0" w:color="auto"/>
        <w:right w:val="none" w:sz="0" w:space="0" w:color="auto"/>
      </w:divBdr>
      <w:divsChild>
        <w:div w:id="1436436543">
          <w:marLeft w:val="0"/>
          <w:marRight w:val="0"/>
          <w:marTop w:val="0"/>
          <w:marBottom w:val="0"/>
          <w:divBdr>
            <w:top w:val="none" w:sz="0" w:space="0" w:color="auto"/>
            <w:left w:val="none" w:sz="0" w:space="0" w:color="auto"/>
            <w:bottom w:val="none" w:sz="0" w:space="0" w:color="auto"/>
            <w:right w:val="none" w:sz="0" w:space="0" w:color="auto"/>
          </w:divBdr>
        </w:div>
        <w:div w:id="946422756">
          <w:marLeft w:val="0"/>
          <w:marRight w:val="0"/>
          <w:marTop w:val="0"/>
          <w:marBottom w:val="0"/>
          <w:divBdr>
            <w:top w:val="none" w:sz="0" w:space="0" w:color="auto"/>
            <w:left w:val="none" w:sz="0" w:space="0" w:color="auto"/>
            <w:bottom w:val="none" w:sz="0" w:space="0" w:color="auto"/>
            <w:right w:val="none" w:sz="0" w:space="0" w:color="auto"/>
          </w:divBdr>
        </w:div>
        <w:div w:id="752899651">
          <w:marLeft w:val="0"/>
          <w:marRight w:val="0"/>
          <w:marTop w:val="0"/>
          <w:marBottom w:val="0"/>
          <w:divBdr>
            <w:top w:val="none" w:sz="0" w:space="0" w:color="auto"/>
            <w:left w:val="none" w:sz="0" w:space="0" w:color="auto"/>
            <w:bottom w:val="none" w:sz="0" w:space="0" w:color="auto"/>
            <w:right w:val="none" w:sz="0" w:space="0" w:color="auto"/>
          </w:divBdr>
        </w:div>
        <w:div w:id="1892574603">
          <w:marLeft w:val="0"/>
          <w:marRight w:val="0"/>
          <w:marTop w:val="0"/>
          <w:marBottom w:val="0"/>
          <w:divBdr>
            <w:top w:val="none" w:sz="0" w:space="0" w:color="auto"/>
            <w:left w:val="none" w:sz="0" w:space="0" w:color="auto"/>
            <w:bottom w:val="none" w:sz="0" w:space="0" w:color="auto"/>
            <w:right w:val="none" w:sz="0" w:space="0" w:color="auto"/>
          </w:divBdr>
        </w:div>
        <w:div w:id="778332367">
          <w:marLeft w:val="0"/>
          <w:marRight w:val="0"/>
          <w:marTop w:val="0"/>
          <w:marBottom w:val="0"/>
          <w:divBdr>
            <w:top w:val="none" w:sz="0" w:space="0" w:color="auto"/>
            <w:left w:val="none" w:sz="0" w:space="0" w:color="auto"/>
            <w:bottom w:val="none" w:sz="0" w:space="0" w:color="auto"/>
            <w:right w:val="none" w:sz="0" w:space="0" w:color="auto"/>
          </w:divBdr>
        </w:div>
        <w:div w:id="2039429198">
          <w:marLeft w:val="0"/>
          <w:marRight w:val="0"/>
          <w:marTop w:val="0"/>
          <w:marBottom w:val="0"/>
          <w:divBdr>
            <w:top w:val="none" w:sz="0" w:space="0" w:color="auto"/>
            <w:left w:val="none" w:sz="0" w:space="0" w:color="auto"/>
            <w:bottom w:val="none" w:sz="0" w:space="0" w:color="auto"/>
            <w:right w:val="none" w:sz="0" w:space="0" w:color="auto"/>
          </w:divBdr>
        </w:div>
        <w:div w:id="499975207">
          <w:marLeft w:val="0"/>
          <w:marRight w:val="0"/>
          <w:marTop w:val="0"/>
          <w:marBottom w:val="0"/>
          <w:divBdr>
            <w:top w:val="none" w:sz="0" w:space="0" w:color="auto"/>
            <w:left w:val="none" w:sz="0" w:space="0" w:color="auto"/>
            <w:bottom w:val="none" w:sz="0" w:space="0" w:color="auto"/>
            <w:right w:val="none" w:sz="0" w:space="0" w:color="auto"/>
          </w:divBdr>
        </w:div>
        <w:div w:id="1412003994">
          <w:marLeft w:val="0"/>
          <w:marRight w:val="0"/>
          <w:marTop w:val="0"/>
          <w:marBottom w:val="0"/>
          <w:divBdr>
            <w:top w:val="none" w:sz="0" w:space="0" w:color="auto"/>
            <w:left w:val="none" w:sz="0" w:space="0" w:color="auto"/>
            <w:bottom w:val="none" w:sz="0" w:space="0" w:color="auto"/>
            <w:right w:val="none" w:sz="0" w:space="0" w:color="auto"/>
          </w:divBdr>
        </w:div>
        <w:div w:id="1593273051">
          <w:marLeft w:val="0"/>
          <w:marRight w:val="0"/>
          <w:marTop w:val="0"/>
          <w:marBottom w:val="0"/>
          <w:divBdr>
            <w:top w:val="none" w:sz="0" w:space="0" w:color="auto"/>
            <w:left w:val="none" w:sz="0" w:space="0" w:color="auto"/>
            <w:bottom w:val="none" w:sz="0" w:space="0" w:color="auto"/>
            <w:right w:val="none" w:sz="0" w:space="0" w:color="auto"/>
          </w:divBdr>
        </w:div>
        <w:div w:id="1979799833">
          <w:marLeft w:val="0"/>
          <w:marRight w:val="0"/>
          <w:marTop w:val="0"/>
          <w:marBottom w:val="0"/>
          <w:divBdr>
            <w:top w:val="none" w:sz="0" w:space="0" w:color="auto"/>
            <w:left w:val="none" w:sz="0" w:space="0" w:color="auto"/>
            <w:bottom w:val="none" w:sz="0" w:space="0" w:color="auto"/>
            <w:right w:val="none" w:sz="0" w:space="0" w:color="auto"/>
          </w:divBdr>
        </w:div>
        <w:div w:id="683945338">
          <w:marLeft w:val="0"/>
          <w:marRight w:val="0"/>
          <w:marTop w:val="0"/>
          <w:marBottom w:val="0"/>
          <w:divBdr>
            <w:top w:val="none" w:sz="0" w:space="0" w:color="auto"/>
            <w:left w:val="none" w:sz="0" w:space="0" w:color="auto"/>
            <w:bottom w:val="none" w:sz="0" w:space="0" w:color="auto"/>
            <w:right w:val="none" w:sz="0" w:space="0" w:color="auto"/>
          </w:divBdr>
        </w:div>
      </w:divsChild>
    </w:div>
    <w:div w:id="875234494">
      <w:bodyDiv w:val="1"/>
      <w:marLeft w:val="0"/>
      <w:marRight w:val="0"/>
      <w:marTop w:val="0"/>
      <w:marBottom w:val="0"/>
      <w:divBdr>
        <w:top w:val="none" w:sz="0" w:space="0" w:color="auto"/>
        <w:left w:val="none" w:sz="0" w:space="0" w:color="auto"/>
        <w:bottom w:val="none" w:sz="0" w:space="0" w:color="auto"/>
        <w:right w:val="none" w:sz="0" w:space="0" w:color="auto"/>
      </w:divBdr>
      <w:divsChild>
        <w:div w:id="269705162">
          <w:marLeft w:val="0"/>
          <w:marRight w:val="0"/>
          <w:marTop w:val="0"/>
          <w:marBottom w:val="0"/>
          <w:divBdr>
            <w:top w:val="none" w:sz="0" w:space="0" w:color="auto"/>
            <w:left w:val="none" w:sz="0" w:space="0" w:color="auto"/>
            <w:bottom w:val="none" w:sz="0" w:space="0" w:color="auto"/>
            <w:right w:val="none" w:sz="0" w:space="0" w:color="auto"/>
          </w:divBdr>
        </w:div>
      </w:divsChild>
    </w:div>
    <w:div w:id="911623219">
      <w:bodyDiv w:val="1"/>
      <w:marLeft w:val="0"/>
      <w:marRight w:val="0"/>
      <w:marTop w:val="0"/>
      <w:marBottom w:val="0"/>
      <w:divBdr>
        <w:top w:val="none" w:sz="0" w:space="0" w:color="auto"/>
        <w:left w:val="none" w:sz="0" w:space="0" w:color="auto"/>
        <w:bottom w:val="none" w:sz="0" w:space="0" w:color="auto"/>
        <w:right w:val="none" w:sz="0" w:space="0" w:color="auto"/>
      </w:divBdr>
    </w:div>
    <w:div w:id="927077605">
      <w:bodyDiv w:val="1"/>
      <w:marLeft w:val="0"/>
      <w:marRight w:val="0"/>
      <w:marTop w:val="0"/>
      <w:marBottom w:val="0"/>
      <w:divBdr>
        <w:top w:val="none" w:sz="0" w:space="0" w:color="auto"/>
        <w:left w:val="none" w:sz="0" w:space="0" w:color="auto"/>
        <w:bottom w:val="none" w:sz="0" w:space="0" w:color="auto"/>
        <w:right w:val="none" w:sz="0" w:space="0" w:color="auto"/>
      </w:divBdr>
    </w:div>
    <w:div w:id="1132559544">
      <w:bodyDiv w:val="1"/>
      <w:marLeft w:val="0"/>
      <w:marRight w:val="0"/>
      <w:marTop w:val="0"/>
      <w:marBottom w:val="0"/>
      <w:divBdr>
        <w:top w:val="none" w:sz="0" w:space="0" w:color="auto"/>
        <w:left w:val="none" w:sz="0" w:space="0" w:color="auto"/>
        <w:bottom w:val="none" w:sz="0" w:space="0" w:color="auto"/>
        <w:right w:val="none" w:sz="0" w:space="0" w:color="auto"/>
      </w:divBdr>
    </w:div>
    <w:div w:id="1175076931">
      <w:bodyDiv w:val="1"/>
      <w:marLeft w:val="0"/>
      <w:marRight w:val="0"/>
      <w:marTop w:val="0"/>
      <w:marBottom w:val="0"/>
      <w:divBdr>
        <w:top w:val="none" w:sz="0" w:space="0" w:color="auto"/>
        <w:left w:val="none" w:sz="0" w:space="0" w:color="auto"/>
        <w:bottom w:val="none" w:sz="0" w:space="0" w:color="auto"/>
        <w:right w:val="none" w:sz="0" w:space="0" w:color="auto"/>
      </w:divBdr>
      <w:divsChild>
        <w:div w:id="2081949329">
          <w:marLeft w:val="0"/>
          <w:marRight w:val="0"/>
          <w:marTop w:val="0"/>
          <w:marBottom w:val="0"/>
          <w:divBdr>
            <w:top w:val="none" w:sz="0" w:space="0" w:color="auto"/>
            <w:left w:val="none" w:sz="0" w:space="0" w:color="auto"/>
            <w:bottom w:val="none" w:sz="0" w:space="0" w:color="auto"/>
            <w:right w:val="none" w:sz="0" w:space="0" w:color="auto"/>
          </w:divBdr>
        </w:div>
        <w:div w:id="249657116">
          <w:marLeft w:val="0"/>
          <w:marRight w:val="0"/>
          <w:marTop w:val="0"/>
          <w:marBottom w:val="0"/>
          <w:divBdr>
            <w:top w:val="none" w:sz="0" w:space="0" w:color="auto"/>
            <w:left w:val="none" w:sz="0" w:space="0" w:color="auto"/>
            <w:bottom w:val="none" w:sz="0" w:space="0" w:color="auto"/>
            <w:right w:val="none" w:sz="0" w:space="0" w:color="auto"/>
          </w:divBdr>
        </w:div>
        <w:div w:id="706637248">
          <w:marLeft w:val="0"/>
          <w:marRight w:val="0"/>
          <w:marTop w:val="0"/>
          <w:marBottom w:val="0"/>
          <w:divBdr>
            <w:top w:val="none" w:sz="0" w:space="0" w:color="auto"/>
            <w:left w:val="none" w:sz="0" w:space="0" w:color="auto"/>
            <w:bottom w:val="none" w:sz="0" w:space="0" w:color="auto"/>
            <w:right w:val="none" w:sz="0" w:space="0" w:color="auto"/>
          </w:divBdr>
        </w:div>
        <w:div w:id="538978656">
          <w:marLeft w:val="0"/>
          <w:marRight w:val="0"/>
          <w:marTop w:val="0"/>
          <w:marBottom w:val="0"/>
          <w:divBdr>
            <w:top w:val="none" w:sz="0" w:space="0" w:color="auto"/>
            <w:left w:val="none" w:sz="0" w:space="0" w:color="auto"/>
            <w:bottom w:val="none" w:sz="0" w:space="0" w:color="auto"/>
            <w:right w:val="none" w:sz="0" w:space="0" w:color="auto"/>
          </w:divBdr>
        </w:div>
        <w:div w:id="1338996721">
          <w:marLeft w:val="0"/>
          <w:marRight w:val="0"/>
          <w:marTop w:val="0"/>
          <w:marBottom w:val="0"/>
          <w:divBdr>
            <w:top w:val="none" w:sz="0" w:space="0" w:color="auto"/>
            <w:left w:val="none" w:sz="0" w:space="0" w:color="auto"/>
            <w:bottom w:val="none" w:sz="0" w:space="0" w:color="auto"/>
            <w:right w:val="none" w:sz="0" w:space="0" w:color="auto"/>
          </w:divBdr>
        </w:div>
      </w:divsChild>
    </w:div>
    <w:div w:id="1213465443">
      <w:bodyDiv w:val="1"/>
      <w:marLeft w:val="0"/>
      <w:marRight w:val="0"/>
      <w:marTop w:val="0"/>
      <w:marBottom w:val="0"/>
      <w:divBdr>
        <w:top w:val="none" w:sz="0" w:space="0" w:color="auto"/>
        <w:left w:val="none" w:sz="0" w:space="0" w:color="auto"/>
        <w:bottom w:val="none" w:sz="0" w:space="0" w:color="auto"/>
        <w:right w:val="none" w:sz="0" w:space="0" w:color="auto"/>
      </w:divBdr>
    </w:div>
    <w:div w:id="1220482843">
      <w:bodyDiv w:val="1"/>
      <w:marLeft w:val="0"/>
      <w:marRight w:val="0"/>
      <w:marTop w:val="0"/>
      <w:marBottom w:val="0"/>
      <w:divBdr>
        <w:top w:val="none" w:sz="0" w:space="0" w:color="auto"/>
        <w:left w:val="none" w:sz="0" w:space="0" w:color="auto"/>
        <w:bottom w:val="none" w:sz="0" w:space="0" w:color="auto"/>
        <w:right w:val="none" w:sz="0" w:space="0" w:color="auto"/>
      </w:divBdr>
    </w:div>
    <w:div w:id="1328709041">
      <w:bodyDiv w:val="1"/>
      <w:marLeft w:val="0"/>
      <w:marRight w:val="0"/>
      <w:marTop w:val="0"/>
      <w:marBottom w:val="0"/>
      <w:divBdr>
        <w:top w:val="none" w:sz="0" w:space="0" w:color="auto"/>
        <w:left w:val="none" w:sz="0" w:space="0" w:color="auto"/>
        <w:bottom w:val="none" w:sz="0" w:space="0" w:color="auto"/>
        <w:right w:val="none" w:sz="0" w:space="0" w:color="auto"/>
      </w:divBdr>
    </w:div>
    <w:div w:id="1628194246">
      <w:bodyDiv w:val="1"/>
      <w:marLeft w:val="0"/>
      <w:marRight w:val="0"/>
      <w:marTop w:val="0"/>
      <w:marBottom w:val="0"/>
      <w:divBdr>
        <w:top w:val="none" w:sz="0" w:space="0" w:color="auto"/>
        <w:left w:val="none" w:sz="0" w:space="0" w:color="auto"/>
        <w:bottom w:val="none" w:sz="0" w:space="0" w:color="auto"/>
        <w:right w:val="none" w:sz="0" w:space="0" w:color="auto"/>
      </w:divBdr>
    </w:div>
    <w:div w:id="1649359035">
      <w:bodyDiv w:val="1"/>
      <w:marLeft w:val="0"/>
      <w:marRight w:val="0"/>
      <w:marTop w:val="0"/>
      <w:marBottom w:val="0"/>
      <w:divBdr>
        <w:top w:val="none" w:sz="0" w:space="0" w:color="auto"/>
        <w:left w:val="none" w:sz="0" w:space="0" w:color="auto"/>
        <w:bottom w:val="none" w:sz="0" w:space="0" w:color="auto"/>
        <w:right w:val="none" w:sz="0" w:space="0" w:color="auto"/>
      </w:divBdr>
    </w:div>
    <w:div w:id="1669403859">
      <w:bodyDiv w:val="1"/>
      <w:marLeft w:val="0"/>
      <w:marRight w:val="0"/>
      <w:marTop w:val="0"/>
      <w:marBottom w:val="0"/>
      <w:divBdr>
        <w:top w:val="none" w:sz="0" w:space="0" w:color="auto"/>
        <w:left w:val="none" w:sz="0" w:space="0" w:color="auto"/>
        <w:bottom w:val="none" w:sz="0" w:space="0" w:color="auto"/>
        <w:right w:val="none" w:sz="0" w:space="0" w:color="auto"/>
      </w:divBdr>
    </w:div>
    <w:div w:id="1725249485">
      <w:bodyDiv w:val="1"/>
      <w:marLeft w:val="0"/>
      <w:marRight w:val="0"/>
      <w:marTop w:val="0"/>
      <w:marBottom w:val="0"/>
      <w:divBdr>
        <w:top w:val="none" w:sz="0" w:space="0" w:color="auto"/>
        <w:left w:val="none" w:sz="0" w:space="0" w:color="auto"/>
        <w:bottom w:val="none" w:sz="0" w:space="0" w:color="auto"/>
        <w:right w:val="none" w:sz="0" w:space="0" w:color="auto"/>
      </w:divBdr>
    </w:div>
    <w:div w:id="1907446640">
      <w:bodyDiv w:val="1"/>
      <w:marLeft w:val="0"/>
      <w:marRight w:val="0"/>
      <w:marTop w:val="0"/>
      <w:marBottom w:val="0"/>
      <w:divBdr>
        <w:top w:val="none" w:sz="0" w:space="0" w:color="auto"/>
        <w:left w:val="none" w:sz="0" w:space="0" w:color="auto"/>
        <w:bottom w:val="none" w:sz="0" w:space="0" w:color="auto"/>
        <w:right w:val="none" w:sz="0" w:space="0" w:color="auto"/>
      </w:divBdr>
    </w:div>
    <w:div w:id="206741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edpb.europa.eu/system/files/2023-04/edpb_guidelines_202209_personal_data_breach_notification_v2.0_en.pdf" TargetMode="External"/><Relationship Id="rId13" Type="http://schemas.openxmlformats.org/officeDocument/2006/relationships/hyperlink" Target="https://curia.europa.eu/juris/document/document.jsf?text=&amp;docid=284641&amp;pageIndex=0&amp;doclang=EN&amp;mode=lst&amp;dir=&amp;occ=first&amp;part=1&amp;ci" TargetMode="External"/><Relationship Id="rId18" Type="http://schemas.openxmlformats.org/officeDocument/2006/relationships/hyperlink" Target="https://curia.europa.eu/juris/document/document.jsf?text=&amp;docid=280630&amp;pageIndex=0&amp;doclang=EN&amp;mode=lst&amp;dir=&amp;occ=first&amp;part=1&amp;cid=19440354" TargetMode="External"/><Relationship Id="rId3" Type="http://schemas.openxmlformats.org/officeDocument/2006/relationships/hyperlink" Target="https://infocuria.curia.europa.eu/tabs/document/C/2023/C-0654-23-00000000RP-01-P-01/ARRET/306316-EN-1-html" TargetMode="External"/><Relationship Id="rId7" Type="http://schemas.openxmlformats.org/officeDocument/2006/relationships/hyperlink" Target="http://data.europa.eu/eli/dir/2022/2555/oj" TargetMode="External"/><Relationship Id="rId12" Type="http://schemas.openxmlformats.org/officeDocument/2006/relationships/hyperlink" Target="https://curia.europa.eu/juris/document/document.jsf?text=&amp;docid=280623&amp;pageIndex=0&amp;doclang=EN&amp;mode=lst&amp;dir=&amp;occ=first&amp;part=1&amp;cid=19442687" TargetMode="External"/><Relationship Id="rId17" Type="http://schemas.openxmlformats.org/officeDocument/2006/relationships/hyperlink" Target="https://curia.europa.eu/juris/document/document.jsf;jsessionid=7D3F4A54FDA2E5C4B540F849979CA258?text=&amp;docid=266842&amp;pageIndex=0&amp;doclang=EN&amp;mode=lst&amp;dir=&amp;occ=first&amp;part=1&amp;cid=20126610" TargetMode="External"/><Relationship Id="rId2" Type="http://schemas.openxmlformats.org/officeDocument/2006/relationships/hyperlink" Target="https://curia.europa.eu/juris/document/document.jsf?mode=lst&amp;pageIndex=0&amp;docid=303863&amp;part=1&amp;doclang=EN&amp;text=&amp;dir=&amp;occ=first&amp;cid=20333701" TargetMode="External"/><Relationship Id="rId16" Type="http://schemas.openxmlformats.org/officeDocument/2006/relationships/hyperlink" Target="https://curia.europa.eu/juris/document/document.jsf;jsessionid=7D3F4A54FDA2E5C4B540F849979CA258?text=&amp;docid=273284&amp;pageIndex=0&amp;doclang=EN&amp;mode=lst&amp;dir=&amp;occ=first&amp;part=1&amp;cid=20126610" TargetMode="External"/><Relationship Id="rId1" Type="http://schemas.openxmlformats.org/officeDocument/2006/relationships/hyperlink" Target="https://www.informationpolicycentre.com/uploads/5/7/1/0/57104281/cipl_public_first_the_impact_of_digital_advertising_eu_competitiveness_study_mar25___.pdf" TargetMode="External"/><Relationship Id="rId6" Type="http://schemas.openxmlformats.org/officeDocument/2006/relationships/hyperlink" Target="https://www.oecd.org/content/dam/oecd/en/publications/reports/2023/03/emerging-privacy-enhancing-technologies_a6bdf3cb/bf121be4-en.pdf" TargetMode="External"/><Relationship Id="rId11" Type="http://schemas.openxmlformats.org/officeDocument/2006/relationships/hyperlink" Target="https://infocuria.curia.europa.eu/tabs/document/C/2024/C-0526-24-00000000RP-01-P-01/CONCL/304835-EN-1-html" TargetMode="External"/><Relationship Id="rId5" Type="http://schemas.openxmlformats.org/officeDocument/2006/relationships/hyperlink" Target="https://curia.europa.eu/juris/document/document.jsf?mode=lst&amp;pageIndex=0&amp;docid=303863&amp;part=1&amp;doclang=EN&amp;text=&amp;dir=&amp;occ=first&amp;cid=20333701" TargetMode="External"/><Relationship Id="rId15" Type="http://schemas.openxmlformats.org/officeDocument/2006/relationships/hyperlink" Target="https://curia.europa.eu/juris/document/document.jsf?mode=DOC&amp;pageIndex=0&amp;docid=282062&amp;part=1&amp;doclang=EN&amp;text=&amp;dir=&amp;occ=first&amp;cid=20288119" TargetMode="External"/><Relationship Id="rId10" Type="http://schemas.openxmlformats.org/officeDocument/2006/relationships/hyperlink" Target="https://infocuria.curia.europa.eu/tabs/document/C/2023/C-0416-23-00000000RP-01-P-01/ARR_COMM/295934-EN-1-html" TargetMode="External"/><Relationship Id="rId19" Type="http://schemas.openxmlformats.org/officeDocument/2006/relationships/hyperlink" Target="https://curia.europa.eu/juris/document/document.jsf?text=&amp;docid=294090&amp;pageIndex=0&amp;doclang=en&amp;mode=req&amp;dir=&amp;occ=first&amp;part=1&amp;cid=405295" TargetMode="External"/><Relationship Id="rId4" Type="http://schemas.openxmlformats.org/officeDocument/2006/relationships/hyperlink" Target="https://infocuria.curia.europa.eu/tabs/document/C/2021/C-0129-21-00000000RP-01-P-01/ARRET/267605-EN-1-html" TargetMode="External"/><Relationship Id="rId9" Type="http://schemas.openxmlformats.org/officeDocument/2006/relationships/hyperlink" Target="https://infocuria.curia.europa.eu/tabs/document/C/2024/C-0526-24-00000000RP-01-P-01/CONCL/304835-EN-1-html" TargetMode="External"/><Relationship Id="rId14" Type="http://schemas.openxmlformats.org/officeDocument/2006/relationships/hyperlink" Target="https://curia.europa.eu/juris/document/document.jsf?text=&amp;docid=274110&amp;pageIndex=0&amp;doclang=EN&amp;mode=lst&amp;dir=&amp;occ=first&amp;part=1&amp;cid=194430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B8854FC68B34FAFE16EA9A05A6344" ma:contentTypeVersion="3" ma:contentTypeDescription="Create a new document." ma:contentTypeScope="" ma:versionID="29e1bff87d4ef540ab5e5cea37f95bee">
  <xsd:schema xmlns:xsd="http://www.w3.org/2001/XMLSchema" xmlns:xs="http://www.w3.org/2001/XMLSchema" xmlns:p="http://schemas.microsoft.com/office/2006/metadata/properties" xmlns:ns2="2b7ed71f-abf5-4e53-bf4a-9f46272c6a9b" targetNamespace="http://schemas.microsoft.com/office/2006/metadata/properties" ma:root="true" ma:fieldsID="3182d68f1b1cecb5e5c6557eb5a4f3c9" ns2:_="">
    <xsd:import namespace="2b7ed71f-abf5-4e53-bf4a-9f46272c6a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ed71f-abf5-4e53-bf4a-9f46272c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B8E76-7639-499A-A98E-9201564E1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ed71f-abf5-4e53-bf4a-9f46272c6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14A53-D944-45F0-ACB9-C8ED00A599F5}">
  <ds:schemaRefs>
    <ds:schemaRef ds:uri="http://schemas.microsoft.com/sharepoint/v3/contenttype/forms"/>
  </ds:schemaRefs>
</ds:datastoreItem>
</file>

<file path=customXml/itemProps3.xml><?xml version="1.0" encoding="utf-8"?>
<ds:datastoreItem xmlns:ds="http://schemas.openxmlformats.org/officeDocument/2006/customXml" ds:itemID="{E4C2602F-2DEE-4161-9964-2E939A0AAB88}">
  <ds:schemaRefs>
    <ds:schemaRef ds:uri="http://schemas.openxmlformats.org/officeDocument/2006/bibliography"/>
  </ds:schemaRefs>
</ds:datastoreItem>
</file>

<file path=customXml/itemProps4.xml><?xml version="1.0" encoding="utf-8"?>
<ds:datastoreItem xmlns:ds="http://schemas.openxmlformats.org/officeDocument/2006/customXml" ds:itemID="{BAB28587-1BC4-4B26-B312-5E66AA259F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5501</Words>
  <Characters>30256</Characters>
  <Application>Microsoft Office Word</Application>
  <DocSecurity>0</DocSecurity>
  <Lines>252</Lines>
  <Paragraphs>71</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Fernandez</dc:creator>
  <cp:lastModifiedBy>Hadewich Van Alst</cp:lastModifiedBy>
  <cp:revision>107</cp:revision>
  <cp:lastPrinted>2023-07-05T13:50:00Z</cp:lastPrinted>
  <dcterms:created xsi:type="dcterms:W3CDTF">2026-01-16T08:27:00Z</dcterms:created>
  <dcterms:modified xsi:type="dcterms:W3CDTF">2026-01-16T12:19:00Z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0x010100E17B8854FC68B34FAFE16EA9A05A6344</vt:lpwstr>
  </property>
  <property fmtid="{D5CDD505-2E9C-101B-9397-08002B2CF9AE}" pid="3" name="MediaServiceImageTags">
    <vt:lpwstr/>
  </property>
</Properties>
</file>