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7CE" w14:textId="780DA310" w:rsidR="009E6C25" w:rsidRPr="00F2190C" w:rsidRDefault="000C210C" w:rsidP="00F2190C">
      <w:pPr>
        <w:spacing w:after="0" w:line="240" w:lineRule="auto"/>
        <w:jc w:val="center"/>
        <w:rPr>
          <w:rFonts w:ascii="Century Gothic" w:hAnsi="Century Gothic"/>
          <w:b/>
          <w:color w:val="010E85"/>
          <w:sz w:val="44"/>
          <w:szCs w:val="44"/>
        </w:rPr>
      </w:pPr>
      <w:r>
        <w:rPr>
          <w:rFonts w:ascii="Century Gothic" w:hAnsi="Century Gothic"/>
          <w:b/>
          <w:color w:val="010E85"/>
          <w:sz w:val="44"/>
          <w:szCs w:val="44"/>
        </w:rPr>
        <w:t xml:space="preserve">AI ACT </w:t>
      </w:r>
      <w:r w:rsidR="004C2AF0">
        <w:rPr>
          <w:rFonts w:ascii="Century Gothic" w:hAnsi="Century Gothic"/>
          <w:b/>
          <w:color w:val="010E85"/>
          <w:sz w:val="44"/>
          <w:szCs w:val="44"/>
        </w:rPr>
        <w:t>–</w:t>
      </w:r>
      <w:r>
        <w:rPr>
          <w:rFonts w:ascii="Century Gothic" w:hAnsi="Century Gothic"/>
          <w:b/>
          <w:color w:val="010E85"/>
          <w:sz w:val="44"/>
          <w:szCs w:val="44"/>
        </w:rPr>
        <w:t xml:space="preserve"> </w:t>
      </w:r>
      <w:r w:rsidR="004C2AF0">
        <w:rPr>
          <w:rFonts w:ascii="Century Gothic" w:hAnsi="Century Gothic"/>
          <w:b/>
          <w:color w:val="010E85"/>
          <w:sz w:val="44"/>
          <w:szCs w:val="44"/>
        </w:rPr>
        <w:t>FEDMA’S INPUT FOR THE TRILOGUE DISCUSSIONS</w:t>
      </w:r>
    </w:p>
    <w:p w14:paraId="5B46DB0F" w14:textId="5A88F3B2" w:rsidR="009E6C25" w:rsidRPr="00B06E54" w:rsidRDefault="009E6C25" w:rsidP="00905438">
      <w:pPr>
        <w:spacing w:line="360" w:lineRule="auto"/>
        <w:jc w:val="both"/>
        <w:rPr>
          <w:rFonts w:ascii="Century Gothic" w:hAnsi="Century Gothic"/>
          <w:b/>
          <w:color w:val="010E85"/>
        </w:rPr>
      </w:pPr>
      <w:r w:rsidRPr="00B06E54">
        <w:rPr>
          <w:rFonts w:ascii="Century Gothic" w:hAnsi="Century Gothic"/>
          <w:noProof/>
        </w:rPr>
        <mc:AlternateContent>
          <mc:Choice Requires="wps">
            <w:drawing>
              <wp:anchor distT="0" distB="0" distL="114300" distR="114300" simplePos="0" relativeHeight="251658240" behindDoc="0" locked="0" layoutInCell="1" allowOverlap="1" wp14:anchorId="3CEE32C9" wp14:editId="5097F3CC">
                <wp:simplePos x="0" y="0"/>
                <wp:positionH relativeFrom="column">
                  <wp:posOffset>-26670</wp:posOffset>
                </wp:positionH>
                <wp:positionV relativeFrom="paragraph">
                  <wp:posOffset>15240</wp:posOffset>
                </wp:positionV>
                <wp:extent cx="10512000" cy="11430"/>
                <wp:effectExtent l="19050" t="19050" r="22860" b="26670"/>
                <wp:wrapNone/>
                <wp:docPr id="20" name="Connecteur droit 20"/>
                <wp:cNvGraphicFramePr/>
                <a:graphic xmlns:a="http://schemas.openxmlformats.org/drawingml/2006/main">
                  <a:graphicData uri="http://schemas.microsoft.com/office/word/2010/wordprocessingShape">
                    <wps:wsp>
                      <wps:cNvCnPr/>
                      <wps:spPr>
                        <a:xfrm flipV="1">
                          <a:off x="0" y="0"/>
                          <a:ext cx="10512000" cy="11430"/>
                        </a:xfrm>
                        <a:prstGeom prst="line">
                          <a:avLst/>
                        </a:prstGeom>
                        <a:ln w="38100">
                          <a:solidFill>
                            <a:srgbClr val="0018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92B51" id="Connecteur droit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pt" to="82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" strokecolor="#0018a8" strokeweight="3pt"/>
            </w:pict>
          </mc:Fallback>
        </mc:AlternateContent>
      </w:r>
    </w:p>
    <w:p w14:paraId="717F2977" w14:textId="646B8E6B" w:rsidR="000D518C" w:rsidRPr="000D518C" w:rsidRDefault="000D518C" w:rsidP="000C210C">
      <w:pPr>
        <w:jc w:val="both"/>
        <w:rPr>
          <w:rFonts w:eastAsia="Century Gothic" w:cstheme="minorHAnsi"/>
          <w:b/>
          <w:bCs/>
          <w:color w:val="00B0F0"/>
          <w:sz w:val="28"/>
          <w:szCs w:val="28"/>
          <w:u w:val="single"/>
        </w:rPr>
      </w:pPr>
      <w:r w:rsidRPr="000D518C">
        <w:rPr>
          <w:rFonts w:eastAsia="Century Gothic" w:cstheme="minorHAnsi"/>
          <w:b/>
          <w:bCs/>
          <w:color w:val="00B0F0"/>
          <w:sz w:val="28"/>
          <w:szCs w:val="28"/>
          <w:u w:val="single"/>
        </w:rPr>
        <w:t>INDEX</w:t>
      </w:r>
    </w:p>
    <w:p w14:paraId="0C5CF546" w14:textId="3223E828" w:rsidR="00C41442" w:rsidRPr="000D518C" w:rsidRDefault="00C32953">
      <w:pPr>
        <w:pStyle w:val="ListParagraph"/>
        <w:numPr>
          <w:ilvl w:val="0"/>
          <w:numId w:val="8"/>
        </w:numPr>
        <w:jc w:val="both"/>
        <w:rPr>
          <w:rFonts w:eastAsia="Century Gothic" w:cstheme="minorHAnsi"/>
          <w:b/>
          <w:bCs/>
          <w:color w:val="333333"/>
          <w:sz w:val="24"/>
          <w:szCs w:val="24"/>
        </w:rPr>
      </w:pPr>
      <w:hyperlink w:anchor="Recital16" w:history="1">
        <w:r w:rsidR="009C71F4" w:rsidRPr="000D518C">
          <w:rPr>
            <w:rStyle w:val="Hyperlink"/>
            <w:rFonts w:eastAsia="Century Gothic" w:cstheme="minorHAnsi"/>
            <w:b/>
            <w:bCs/>
            <w:sz w:val="24"/>
            <w:szCs w:val="24"/>
          </w:rPr>
          <w:t>Recital 16 on Prohibited Artificial Intelligence Practices</w:t>
        </w:r>
      </w:hyperlink>
    </w:p>
    <w:p w14:paraId="52B0E0DB" w14:textId="20B46339" w:rsidR="009C71F4" w:rsidRPr="000D518C" w:rsidRDefault="00C32953">
      <w:pPr>
        <w:pStyle w:val="ListParagraph"/>
        <w:numPr>
          <w:ilvl w:val="0"/>
          <w:numId w:val="8"/>
        </w:numPr>
        <w:jc w:val="both"/>
        <w:rPr>
          <w:rFonts w:eastAsia="Century Gothic" w:cstheme="minorHAnsi"/>
          <w:b/>
          <w:bCs/>
          <w:color w:val="333333"/>
          <w:sz w:val="24"/>
          <w:szCs w:val="24"/>
        </w:rPr>
      </w:pPr>
      <w:hyperlink w:anchor="DEFINITIONS" w:history="1">
        <w:r w:rsidR="009C71F4" w:rsidRPr="000D518C">
          <w:rPr>
            <w:rStyle w:val="Hyperlink"/>
            <w:rFonts w:eastAsia="Century Gothic" w:cstheme="minorHAnsi"/>
            <w:b/>
            <w:bCs/>
            <w:sz w:val="24"/>
            <w:szCs w:val="24"/>
          </w:rPr>
          <w:t>Article 3</w:t>
        </w:r>
        <w:r w:rsidR="00CA399E" w:rsidRPr="000D518C">
          <w:rPr>
            <w:rStyle w:val="Hyperlink"/>
            <w:rFonts w:eastAsia="Century Gothic" w:cstheme="minorHAnsi"/>
            <w:b/>
            <w:bCs/>
            <w:sz w:val="24"/>
            <w:szCs w:val="24"/>
          </w:rPr>
          <w:t>(1)(1)</w:t>
        </w:r>
        <w:r w:rsidR="00F722D7" w:rsidRPr="000D518C">
          <w:rPr>
            <w:rStyle w:val="Hyperlink"/>
            <w:rFonts w:eastAsia="Century Gothic" w:cstheme="minorHAnsi"/>
            <w:b/>
            <w:bCs/>
            <w:sz w:val="24"/>
            <w:szCs w:val="24"/>
          </w:rPr>
          <w:t xml:space="preserve"> on Definitions</w:t>
        </w:r>
      </w:hyperlink>
    </w:p>
    <w:p w14:paraId="78DD8160" w14:textId="2C3E0BBF" w:rsidR="00F722D7" w:rsidRPr="000D518C" w:rsidRDefault="00C32953">
      <w:pPr>
        <w:pStyle w:val="ListParagraph"/>
        <w:numPr>
          <w:ilvl w:val="0"/>
          <w:numId w:val="8"/>
        </w:numPr>
        <w:jc w:val="both"/>
        <w:rPr>
          <w:rFonts w:eastAsia="Century Gothic" w:cstheme="minorHAnsi"/>
          <w:b/>
          <w:bCs/>
          <w:color w:val="333333"/>
          <w:sz w:val="24"/>
          <w:szCs w:val="24"/>
        </w:rPr>
      </w:pPr>
      <w:hyperlink w:anchor="Prohibited" w:history="1">
        <w:r w:rsidR="00F722D7" w:rsidRPr="000D518C">
          <w:rPr>
            <w:rStyle w:val="Hyperlink"/>
            <w:rFonts w:eastAsia="Century Gothic" w:cstheme="minorHAnsi"/>
            <w:b/>
            <w:bCs/>
            <w:sz w:val="24"/>
            <w:szCs w:val="24"/>
          </w:rPr>
          <w:t>Article 5</w:t>
        </w:r>
        <w:r w:rsidR="00CA399E" w:rsidRPr="000D518C">
          <w:rPr>
            <w:rStyle w:val="Hyperlink"/>
            <w:rFonts w:eastAsia="Century Gothic" w:cstheme="minorHAnsi"/>
            <w:b/>
            <w:bCs/>
            <w:sz w:val="24"/>
            <w:szCs w:val="24"/>
          </w:rPr>
          <w:t>(1)(a)</w:t>
        </w:r>
        <w:r w:rsidR="00F722D7" w:rsidRPr="000D518C">
          <w:rPr>
            <w:rStyle w:val="Hyperlink"/>
            <w:rFonts w:eastAsia="Century Gothic" w:cstheme="minorHAnsi"/>
            <w:b/>
            <w:bCs/>
            <w:sz w:val="24"/>
            <w:szCs w:val="24"/>
          </w:rPr>
          <w:t xml:space="preserve"> on Prohibited Artificial Intelligence Practices</w:t>
        </w:r>
      </w:hyperlink>
    </w:p>
    <w:p w14:paraId="5E7EE128" w14:textId="78474DE6" w:rsidR="00F722D7" w:rsidRPr="000D518C" w:rsidRDefault="00C32953">
      <w:pPr>
        <w:pStyle w:val="ListParagraph"/>
        <w:numPr>
          <w:ilvl w:val="0"/>
          <w:numId w:val="8"/>
        </w:numPr>
        <w:jc w:val="both"/>
        <w:rPr>
          <w:rFonts w:eastAsia="Century Gothic" w:cstheme="minorHAnsi"/>
          <w:b/>
          <w:bCs/>
          <w:color w:val="333333"/>
          <w:sz w:val="24"/>
          <w:szCs w:val="24"/>
        </w:rPr>
      </w:pPr>
      <w:hyperlink w:anchor="classification" w:history="1">
        <w:r w:rsidR="00CA399E" w:rsidRPr="000D518C">
          <w:rPr>
            <w:rStyle w:val="Hyperlink"/>
            <w:rFonts w:eastAsia="Century Gothic" w:cstheme="minorHAnsi"/>
            <w:b/>
            <w:bCs/>
            <w:sz w:val="24"/>
            <w:szCs w:val="24"/>
          </w:rPr>
          <w:t>Article 6 on Classification rules for high-risk AI systems</w:t>
        </w:r>
      </w:hyperlink>
    </w:p>
    <w:p w14:paraId="63406D6A" w14:textId="6768CC96" w:rsidR="00CA399E" w:rsidRPr="000D518C" w:rsidRDefault="00C32953">
      <w:pPr>
        <w:pStyle w:val="ListParagraph"/>
        <w:numPr>
          <w:ilvl w:val="0"/>
          <w:numId w:val="8"/>
        </w:numPr>
        <w:jc w:val="both"/>
        <w:rPr>
          <w:rFonts w:eastAsia="Century Gothic" w:cstheme="minorHAnsi"/>
          <w:b/>
          <w:bCs/>
          <w:color w:val="333333"/>
          <w:sz w:val="24"/>
          <w:szCs w:val="24"/>
        </w:rPr>
      </w:pPr>
      <w:hyperlink w:anchor="foundation" w:history="1">
        <w:r w:rsidR="00CA399E" w:rsidRPr="000D518C">
          <w:rPr>
            <w:rStyle w:val="Hyperlink"/>
            <w:rFonts w:eastAsia="Century Gothic" w:cstheme="minorHAnsi"/>
            <w:b/>
            <w:bCs/>
            <w:sz w:val="24"/>
            <w:szCs w:val="24"/>
          </w:rPr>
          <w:t>Article 28(b) new on Obligations of the provider of a foundation model</w:t>
        </w:r>
      </w:hyperlink>
    </w:p>
    <w:p w14:paraId="0BFAE69F" w14:textId="7DF590D6" w:rsidR="00CA399E" w:rsidRDefault="00C32953">
      <w:pPr>
        <w:pStyle w:val="ListParagraph"/>
        <w:numPr>
          <w:ilvl w:val="0"/>
          <w:numId w:val="8"/>
        </w:numPr>
        <w:jc w:val="both"/>
        <w:rPr>
          <w:rFonts w:eastAsia="Century Gothic" w:cstheme="minorHAnsi"/>
          <w:b/>
          <w:bCs/>
          <w:color w:val="333333"/>
          <w:sz w:val="24"/>
          <w:szCs w:val="24"/>
        </w:rPr>
      </w:pPr>
      <w:hyperlink w:anchor="annexIII" w:history="1">
        <w:r w:rsidR="00CA399E" w:rsidRPr="000D518C">
          <w:rPr>
            <w:rStyle w:val="Hyperlink"/>
            <w:rFonts w:eastAsia="Century Gothic" w:cstheme="minorHAnsi"/>
            <w:b/>
            <w:bCs/>
            <w:sz w:val="24"/>
            <w:szCs w:val="24"/>
          </w:rPr>
          <w:t>Annex III on High-Risk AI Systems referred to in Article 6(2)</w:t>
        </w:r>
      </w:hyperlink>
    </w:p>
    <w:p w14:paraId="4AE6E1AA" w14:textId="77777777" w:rsidR="000D518C" w:rsidRPr="000D518C" w:rsidRDefault="000D518C" w:rsidP="000D518C">
      <w:pPr>
        <w:pStyle w:val="ListParagraph"/>
        <w:jc w:val="both"/>
        <w:rPr>
          <w:rFonts w:eastAsia="Century Gothic" w:cstheme="minorHAnsi"/>
          <w:b/>
          <w:bCs/>
          <w:color w:val="333333"/>
          <w:sz w:val="24"/>
          <w:szCs w:val="24"/>
        </w:rPr>
      </w:pPr>
    </w:p>
    <w:p w14:paraId="232F9FA0" w14:textId="17289EB3" w:rsidR="005265DC" w:rsidRPr="000D518C" w:rsidRDefault="005265DC" w:rsidP="000C210C">
      <w:pPr>
        <w:jc w:val="both"/>
        <w:rPr>
          <w:rFonts w:eastAsia="Century Gothic" w:cstheme="minorHAnsi"/>
          <w:color w:val="333333"/>
          <w:lang w:val="en-US"/>
        </w:rPr>
      </w:pPr>
      <w:r w:rsidRPr="000D518C">
        <w:rPr>
          <w:rFonts w:eastAsia="Century Gothic" w:cstheme="minorHAnsi"/>
          <w:b/>
          <w:bCs/>
          <w:color w:val="333333"/>
        </w:rPr>
        <w:t xml:space="preserve">TABLE OF COMPARISON </w:t>
      </w:r>
      <w:r w:rsidRPr="000D518C">
        <w:rPr>
          <w:rStyle w:val="FootnoteReference"/>
          <w:rFonts w:eastAsia="Century Gothic" w:cstheme="minorHAnsi"/>
          <w:b/>
          <w:bCs/>
          <w:color w:val="333333"/>
        </w:rPr>
        <w:footnoteReference w:id="2"/>
      </w:r>
    </w:p>
    <w:tbl>
      <w:tblPr>
        <w:tblStyle w:val="TableGrid"/>
        <w:tblW w:w="15882" w:type="dxa"/>
        <w:tblLook w:val="04A0" w:firstRow="1" w:lastRow="0" w:firstColumn="1" w:lastColumn="0" w:noHBand="0" w:noVBand="1"/>
      </w:tblPr>
      <w:tblGrid>
        <w:gridCol w:w="3970"/>
        <w:gridCol w:w="688"/>
        <w:gridCol w:w="3283"/>
        <w:gridCol w:w="196"/>
        <w:gridCol w:w="3479"/>
        <w:gridCol w:w="295"/>
        <w:gridCol w:w="3971"/>
      </w:tblGrid>
      <w:tr w:rsidR="005265DC" w:rsidRPr="004C2AF0" w14:paraId="1A6A54CE" w14:textId="77777777" w:rsidTr="001B49BB">
        <w:trPr>
          <w:trHeight w:val="300"/>
        </w:trPr>
        <w:tc>
          <w:tcPr>
            <w:tcW w:w="3970" w:type="dxa"/>
            <w:vAlign w:val="center"/>
          </w:tcPr>
          <w:p w14:paraId="5B63EEBD" w14:textId="3E359932" w:rsidR="005265DC" w:rsidRPr="001B49BB" w:rsidRDefault="00C32953" w:rsidP="004C2AF0">
            <w:pPr>
              <w:jc w:val="center"/>
              <w:rPr>
                <w:rStyle w:val="Hyperlink"/>
                <w:rFonts w:cstheme="minorHAnsi"/>
                <w:b/>
                <w:bCs/>
                <w:color w:val="00B0F0"/>
              </w:rPr>
            </w:pPr>
            <w:hyperlink r:id="rId11" w:history="1">
              <w:r w:rsidR="005265DC" w:rsidRPr="001B49BB">
                <w:rPr>
                  <w:rStyle w:val="Hyperlink"/>
                  <w:rFonts w:cstheme="minorHAnsi"/>
                  <w:b/>
                  <w:bCs/>
                  <w:color w:val="00B0F0"/>
                </w:rPr>
                <w:t>COMMISSION</w:t>
              </w:r>
            </w:hyperlink>
          </w:p>
          <w:p w14:paraId="23CAA5DF" w14:textId="77777777" w:rsidR="005265DC" w:rsidRPr="001B49BB" w:rsidRDefault="00C32953" w:rsidP="004C2AF0">
            <w:pPr>
              <w:jc w:val="center"/>
              <w:rPr>
                <w:rFonts w:cstheme="minorHAnsi"/>
                <w:b/>
                <w:bCs/>
                <w:color w:val="00B0F0"/>
              </w:rPr>
            </w:pPr>
            <w:hyperlink r:id="rId12" w:history="1">
              <w:r w:rsidR="005265DC" w:rsidRPr="001B49BB">
                <w:rPr>
                  <w:rStyle w:val="Hyperlink"/>
                  <w:rFonts w:cstheme="minorHAnsi"/>
                  <w:b/>
                  <w:bCs/>
                  <w:color w:val="00B0F0"/>
                </w:rPr>
                <w:t>(Annexes)</w:t>
              </w:r>
            </w:hyperlink>
          </w:p>
        </w:tc>
        <w:tc>
          <w:tcPr>
            <w:tcW w:w="3971" w:type="dxa"/>
            <w:gridSpan w:val="2"/>
            <w:vAlign w:val="center"/>
          </w:tcPr>
          <w:p w14:paraId="304A345A" w14:textId="77777777" w:rsidR="005265DC" w:rsidRPr="001B49BB" w:rsidRDefault="00C32953" w:rsidP="004C2AF0">
            <w:pPr>
              <w:spacing w:line="259" w:lineRule="auto"/>
              <w:jc w:val="center"/>
              <w:rPr>
                <w:rFonts w:cstheme="minorHAnsi"/>
                <w:b/>
                <w:bCs/>
                <w:color w:val="00B0F0"/>
              </w:rPr>
            </w:pPr>
            <w:hyperlink r:id="rId13">
              <w:r w:rsidR="005265DC" w:rsidRPr="001B49BB">
                <w:rPr>
                  <w:rStyle w:val="Hyperlink"/>
                  <w:rFonts w:cstheme="minorHAnsi"/>
                  <w:b/>
                  <w:bCs/>
                  <w:color w:val="00B0F0"/>
                  <w:lang w:val="fr-BE"/>
                </w:rPr>
                <w:t>PARLIAMENT</w:t>
              </w:r>
            </w:hyperlink>
          </w:p>
        </w:tc>
        <w:tc>
          <w:tcPr>
            <w:tcW w:w="3970" w:type="dxa"/>
            <w:gridSpan w:val="3"/>
            <w:vAlign w:val="center"/>
          </w:tcPr>
          <w:p w14:paraId="29C74075" w14:textId="77777777" w:rsidR="005265DC" w:rsidRPr="001B49BB" w:rsidRDefault="00C32953" w:rsidP="004C2AF0">
            <w:pPr>
              <w:spacing w:line="259" w:lineRule="auto"/>
              <w:jc w:val="center"/>
              <w:rPr>
                <w:rFonts w:cstheme="minorHAnsi"/>
                <w:b/>
                <w:bCs/>
                <w:color w:val="00B0F0"/>
              </w:rPr>
            </w:pPr>
            <w:hyperlink r:id="rId14">
              <w:r w:rsidR="005265DC" w:rsidRPr="001B49BB">
                <w:rPr>
                  <w:rStyle w:val="Hyperlink"/>
                  <w:rFonts w:cstheme="minorHAnsi"/>
                  <w:b/>
                  <w:bCs/>
                  <w:color w:val="00B0F0"/>
                  <w:lang w:val="fr-BE"/>
                </w:rPr>
                <w:t>COUNCIL</w:t>
              </w:r>
            </w:hyperlink>
          </w:p>
        </w:tc>
        <w:tc>
          <w:tcPr>
            <w:tcW w:w="3971" w:type="dxa"/>
            <w:vAlign w:val="center"/>
          </w:tcPr>
          <w:p w14:paraId="5C008139" w14:textId="77777777" w:rsidR="005265DC" w:rsidRPr="00CF35D1" w:rsidRDefault="005265DC" w:rsidP="004C2AF0">
            <w:pPr>
              <w:spacing w:line="259" w:lineRule="auto"/>
              <w:jc w:val="center"/>
              <w:rPr>
                <w:rFonts w:cstheme="minorHAnsi"/>
                <w:b/>
                <w:bCs/>
                <w:color w:val="00B0F0"/>
                <w:lang w:val="en-US"/>
              </w:rPr>
            </w:pPr>
            <w:r w:rsidRPr="00CF35D1">
              <w:rPr>
                <w:rFonts w:cstheme="minorHAnsi"/>
                <w:b/>
                <w:bCs/>
                <w:color w:val="00B0F0"/>
                <w:lang w:val="en-US"/>
              </w:rPr>
              <w:t>Comments</w:t>
            </w:r>
          </w:p>
        </w:tc>
      </w:tr>
      <w:tr w:rsidR="005265DC" w:rsidRPr="004C2AF0" w14:paraId="5DCAADB2" w14:textId="77777777" w:rsidTr="001B49BB">
        <w:trPr>
          <w:trHeight w:val="397"/>
        </w:trPr>
        <w:tc>
          <w:tcPr>
            <w:tcW w:w="15882" w:type="dxa"/>
            <w:gridSpan w:val="7"/>
            <w:shd w:val="clear" w:color="auto" w:fill="00B0F0"/>
            <w:vAlign w:val="center"/>
          </w:tcPr>
          <w:p w14:paraId="7C44284B" w14:textId="185FE551" w:rsidR="005265DC" w:rsidRPr="001B49BB" w:rsidRDefault="005265DC" w:rsidP="001B49BB">
            <w:pPr>
              <w:jc w:val="center"/>
              <w:rPr>
                <w:rFonts w:cstheme="minorHAnsi"/>
                <w:b/>
                <w:color w:val="FFFFFF" w:themeColor="background1"/>
              </w:rPr>
            </w:pPr>
            <w:bookmarkStart w:id="0" w:name="Recital16"/>
            <w:r w:rsidRPr="001B49BB">
              <w:rPr>
                <w:rFonts w:cstheme="minorHAnsi"/>
                <w:b/>
                <w:color w:val="FFFFFF" w:themeColor="background1"/>
              </w:rPr>
              <w:t>RECITAL 16</w:t>
            </w:r>
            <w:bookmarkEnd w:id="0"/>
          </w:p>
        </w:tc>
      </w:tr>
      <w:tr w:rsidR="005265DC" w:rsidRPr="004C2AF0" w14:paraId="34AD7830" w14:textId="77777777" w:rsidTr="001B49BB">
        <w:trPr>
          <w:trHeight w:val="300"/>
        </w:trPr>
        <w:tc>
          <w:tcPr>
            <w:tcW w:w="3970" w:type="dxa"/>
          </w:tcPr>
          <w:p w14:paraId="43766798" w14:textId="77777777" w:rsidR="005265DC" w:rsidRPr="004C2AF0" w:rsidRDefault="005265DC" w:rsidP="006B4433">
            <w:pPr>
              <w:rPr>
                <w:rFonts w:cstheme="minorHAnsi"/>
              </w:rPr>
            </w:pPr>
            <w:r w:rsidRPr="004C2AF0">
              <w:rPr>
                <w:rFonts w:eastAsia="Calibri" w:cstheme="minorHAnsi"/>
              </w:rPr>
              <w:t xml:space="preserve">The placing on the market, putting into service or use of certain AI systems intended to distort human behaviour, </w:t>
            </w:r>
            <w:r w:rsidRPr="004C2AF0">
              <w:rPr>
                <w:rFonts w:eastAsia="Calibri" w:cstheme="minorHAnsi"/>
              </w:rPr>
              <w:lastRenderedPageBreak/>
              <w:t>whereby physical or psychological harms are likely to occur, should be forbidden. Such AI systems deploy subliminal components individuals cannot perceive or exploit vulnerabilities of children and people due to their age, physical or mental incapacities. They do so with the intention to materially distort the behaviour of a person and in a manner that causes or is likely to cause harm to that or another person. The intention may not be presumed if the distortion of human behaviour results from factors external to the AI system which are outside of the control of the provider or the user. Research for legitimate purposes in relation to such AI systems should not be stifled by the prohibition, if such research does not amount to use of the AI system in human machine relations that exposes natural persons to harm and such research is carried out in accordance with recognised ethical standards for scientific research.</w:t>
            </w:r>
          </w:p>
        </w:tc>
        <w:tc>
          <w:tcPr>
            <w:tcW w:w="3971" w:type="dxa"/>
            <w:gridSpan w:val="2"/>
          </w:tcPr>
          <w:p w14:paraId="30711B92" w14:textId="77777777" w:rsidR="005265DC" w:rsidRPr="004C2AF0" w:rsidRDefault="005265DC" w:rsidP="006B4433">
            <w:pPr>
              <w:rPr>
                <w:rFonts w:eastAsia="Calibri" w:cstheme="minorHAnsi"/>
              </w:rPr>
            </w:pPr>
            <w:r w:rsidRPr="004C2AF0">
              <w:rPr>
                <w:rFonts w:eastAsia="Calibri" w:cstheme="minorHAnsi"/>
              </w:rPr>
              <w:lastRenderedPageBreak/>
              <w:t xml:space="preserve">The placing on the market, putting into service or use of certain AI systems with the objective to </w:t>
            </w:r>
            <w:r w:rsidRPr="004C2AF0">
              <w:rPr>
                <w:rFonts w:eastAsia="Calibri" w:cstheme="minorHAnsi"/>
                <w:highlight w:val="cyan"/>
              </w:rPr>
              <w:t>or the effect</w:t>
            </w:r>
            <w:r w:rsidRPr="004C2AF0">
              <w:rPr>
                <w:rFonts w:eastAsia="Calibri" w:cstheme="minorHAnsi"/>
              </w:rPr>
              <w:t xml:space="preserve"> of </w:t>
            </w:r>
            <w:r w:rsidRPr="004C2AF0">
              <w:rPr>
                <w:rFonts w:eastAsia="Calibri" w:cstheme="minorHAnsi"/>
                <w:highlight w:val="cyan"/>
              </w:rPr>
              <w:t>materially</w:t>
            </w:r>
            <w:r w:rsidRPr="004C2AF0">
              <w:rPr>
                <w:rFonts w:eastAsia="Calibri" w:cstheme="minorHAnsi"/>
              </w:rPr>
              <w:t xml:space="preserve"> </w:t>
            </w:r>
            <w:r w:rsidRPr="004C2AF0">
              <w:rPr>
                <w:rFonts w:eastAsia="Calibri" w:cstheme="minorHAnsi"/>
              </w:rPr>
              <w:lastRenderedPageBreak/>
              <w:t xml:space="preserve">distorting human behaviour, whereby physical or psychological harms are likely to occur, should be forbidden. </w:t>
            </w:r>
            <w:r w:rsidRPr="004C2AF0">
              <w:rPr>
                <w:rFonts w:eastAsia="Calibri" w:cstheme="minorHAnsi"/>
                <w:highlight w:val="cyan"/>
              </w:rPr>
              <w:t>This limitation should be understood to include neuro-technologies assisted by AI systems that are used to monitor, use, or influence neural data gathered through brain-computer interfaces insofar as they are materially distorting the behaviour of a natural person in a manner that causes or is likely to cause that person or another person significant harm.</w:t>
            </w:r>
            <w:r w:rsidRPr="004C2AF0">
              <w:rPr>
                <w:rFonts w:eastAsia="Calibri" w:cstheme="minorHAnsi"/>
              </w:rPr>
              <w:t xml:space="preserve"> Such AI systems deploy subliminal components individuals cannot perceive or exploit vulnerabilities of individuals and specific groups of persons due to their known or predicted personality traits, age, physical or mental incapacities, social or economic situation. They do so with the intention to or the effect of materially distorting the behaviour of a person and in a manner that causes or is likely to cause significant harm to that or another person or groups of persons, including harms that may be accumulated over time. The intention to distort the behaviour may not be presumed if the distortion results from factors external to the AI system which are outside of the control of the provider or the user, such as factors that may not be reasonably foreseen and mitigated by the provider or </w:t>
            </w:r>
            <w:r w:rsidRPr="004C2AF0">
              <w:rPr>
                <w:rFonts w:eastAsia="Calibri" w:cstheme="minorHAnsi"/>
              </w:rPr>
              <w:lastRenderedPageBreak/>
              <w:t xml:space="preserve">the deployer of the AI system. In any case, it is not necessary for the provider or the deployer to have the intention to cause the significant harm, </w:t>
            </w:r>
            <w:proofErr w:type="gramStart"/>
            <w:r w:rsidRPr="004C2AF0">
              <w:rPr>
                <w:rFonts w:eastAsia="Calibri" w:cstheme="minorHAnsi"/>
              </w:rPr>
              <w:t>as long as</w:t>
            </w:r>
            <w:proofErr w:type="gramEnd"/>
            <w:r w:rsidRPr="004C2AF0">
              <w:rPr>
                <w:rFonts w:eastAsia="Calibri" w:cstheme="minorHAnsi"/>
              </w:rPr>
              <w:t xml:space="preserve"> such harm results from the manipulative or exploitative AI-enabled practices. The prohibitions for such AI practices </w:t>
            </w:r>
            <w:proofErr w:type="gramStart"/>
            <w:r w:rsidRPr="004C2AF0">
              <w:rPr>
                <w:rFonts w:eastAsia="Calibri" w:cstheme="minorHAnsi"/>
              </w:rPr>
              <w:t>is</w:t>
            </w:r>
            <w:proofErr w:type="gramEnd"/>
            <w:r w:rsidRPr="004C2AF0">
              <w:rPr>
                <w:rFonts w:eastAsia="Calibri" w:cstheme="minorHAnsi"/>
              </w:rPr>
              <w:t xml:space="preserve"> complementary to the provisions contained in Directive 2005/29/EC, according to which unfair commercial practices are prohibited, irrespective of whether they carried out having recourse to AI systems or otherwise. In such setting, lawful commercial practices, for example in the field of advertising, that </w:t>
            </w:r>
            <w:proofErr w:type="gramStart"/>
            <w:r w:rsidRPr="004C2AF0">
              <w:rPr>
                <w:rFonts w:eastAsia="Calibri" w:cstheme="minorHAnsi"/>
              </w:rPr>
              <w:t>are in compliance with</w:t>
            </w:r>
            <w:proofErr w:type="gramEnd"/>
            <w:r w:rsidRPr="004C2AF0">
              <w:rPr>
                <w:rFonts w:eastAsia="Calibri" w:cstheme="minorHAnsi"/>
              </w:rPr>
              <w:t xml:space="preserve"> Union law should not in themselves be regarded as violating prohibition. Research for legitimate purposes in relation to such AI systems should not be stifled by the prohibition, if such research does not amount to use of the AI system in </w:t>
            </w:r>
            <w:proofErr w:type="spellStart"/>
            <w:r w:rsidRPr="004C2AF0">
              <w:rPr>
                <w:rFonts w:eastAsia="Calibri" w:cstheme="minorHAnsi"/>
              </w:rPr>
              <w:t>humanmachine</w:t>
            </w:r>
            <w:proofErr w:type="spellEnd"/>
            <w:r w:rsidRPr="004C2AF0">
              <w:rPr>
                <w:rFonts w:eastAsia="Calibri" w:cstheme="minorHAnsi"/>
              </w:rPr>
              <w:t xml:space="preserve"> relations that exposes natural persons to harm and such research is carried out in accordance with recognised ethical standards for scientific research and on the basis of specific informed consent of the individuals that are exposed to them or, where applicable, of their legal guardian.</w:t>
            </w:r>
          </w:p>
        </w:tc>
        <w:tc>
          <w:tcPr>
            <w:tcW w:w="3970" w:type="dxa"/>
            <w:gridSpan w:val="3"/>
          </w:tcPr>
          <w:p w14:paraId="7E3B7259" w14:textId="77777777" w:rsidR="005265DC" w:rsidRPr="004C2AF0" w:rsidRDefault="005265DC" w:rsidP="006B4433">
            <w:pPr>
              <w:rPr>
                <w:rFonts w:cstheme="minorHAnsi"/>
              </w:rPr>
            </w:pPr>
            <w:r w:rsidRPr="004C2AF0">
              <w:rPr>
                <w:rFonts w:eastAsia="Calibri" w:cstheme="minorHAnsi"/>
                <w:highlight w:val="cyan"/>
              </w:rPr>
              <w:lastRenderedPageBreak/>
              <w:t xml:space="preserve">The harmonised rules on the placing on the market, putting into service and use of AI systems laid down in this Regulation </w:t>
            </w:r>
            <w:r w:rsidRPr="004C2AF0">
              <w:rPr>
                <w:rFonts w:eastAsia="Calibri" w:cstheme="minorHAnsi"/>
                <w:highlight w:val="cyan"/>
              </w:rPr>
              <w:lastRenderedPageBreak/>
              <w:t>should apply across sectors and, in line with its New Legislative Framework approach, should be without prejudice to existing Union law, notably on data protection, consumer protection, fundamental rights, employment and product safety, to which this Regulation is complementary.</w:t>
            </w:r>
            <w:r w:rsidRPr="004C2AF0">
              <w:rPr>
                <w:rFonts w:eastAsia="Calibri" w:cstheme="minorHAnsi"/>
              </w:rPr>
              <w:t xml:space="preserve"> As a </w:t>
            </w:r>
            <w:proofErr w:type="gramStart"/>
            <w:r w:rsidRPr="004C2AF0">
              <w:rPr>
                <w:rFonts w:eastAsia="Calibri" w:cstheme="minorHAnsi"/>
                <w:highlight w:val="cyan"/>
              </w:rPr>
              <w:t>consequence</w:t>
            </w:r>
            <w:proofErr w:type="gramEnd"/>
            <w:r w:rsidRPr="004C2AF0">
              <w:rPr>
                <w:rFonts w:eastAsia="Calibri" w:cstheme="minorHAnsi"/>
                <w:highlight w:val="cyan"/>
              </w:rPr>
              <w:t xml:space="preserve"> all rights and remedies afforded by such Union law to consumers and other persons who may be negatively impacted by AI systems, including as regards the compensation of possible damages pursuant to Council Directive 85/374/EEC of 25 July 1985 on the approximation of the laws, regulations and administrative provisions of the Member States concerning liability for defective products, remain unaffected and fully applicable. On top of that, this Regulation aims to strengthen the effectiveness of such existing rights and remedies by establishing specific requirements and obligations, including in respect of transparency, technical </w:t>
            </w:r>
            <w:proofErr w:type="gramStart"/>
            <w:r w:rsidRPr="004C2AF0">
              <w:rPr>
                <w:rFonts w:eastAsia="Calibri" w:cstheme="minorHAnsi"/>
                <w:highlight w:val="cyan"/>
              </w:rPr>
              <w:t>documentation</w:t>
            </w:r>
            <w:proofErr w:type="gramEnd"/>
            <w:r w:rsidRPr="004C2AF0">
              <w:rPr>
                <w:rFonts w:eastAsia="Calibri" w:cstheme="minorHAnsi"/>
                <w:highlight w:val="cyan"/>
              </w:rPr>
              <w:t xml:space="preserve"> and record-keeping of AI systems. Furthermore, the obligations placed on various operators involved in the AI value chain under this Regulation should apply without prejudice to national laws, in compliance with Union law, having the effect of limiting the use of certain AI </w:t>
            </w:r>
            <w:r w:rsidRPr="004C2AF0">
              <w:rPr>
                <w:rFonts w:eastAsia="Calibri" w:cstheme="minorHAnsi"/>
                <w:highlight w:val="cyan"/>
              </w:rPr>
              <w:lastRenderedPageBreak/>
              <w:t>systems where such laws fall outside the scope of this Regulation or pursue other legitimate public interest objectives than those pursued by this Regulation. For example, national labour law and the laws on the protection of minors (</w:t>
            </w:r>
            <w:proofErr w:type="gramStart"/>
            <w:r w:rsidRPr="004C2AF0">
              <w:rPr>
                <w:rFonts w:eastAsia="Calibri" w:cstheme="minorHAnsi"/>
                <w:highlight w:val="cyan"/>
              </w:rPr>
              <w:t>i.e.</w:t>
            </w:r>
            <w:proofErr w:type="gramEnd"/>
            <w:r w:rsidRPr="004C2AF0">
              <w:rPr>
                <w:rFonts w:eastAsia="Calibri" w:cstheme="minorHAnsi"/>
                <w:highlight w:val="cyan"/>
              </w:rPr>
              <w:t xml:space="preserve"> persons below the age of 18) taking into account the United Nations General Comment No 25 (2021) on children’s rights, insofar as they are not specific to AI systems and pursue other </w:t>
            </w:r>
            <w:proofErr w:type="spellStart"/>
            <w:r w:rsidRPr="004C2AF0">
              <w:rPr>
                <w:rFonts w:eastAsia="Calibri" w:cstheme="minorHAnsi"/>
                <w:highlight w:val="cyan"/>
              </w:rPr>
              <w:t>legimitate</w:t>
            </w:r>
            <w:proofErr w:type="spellEnd"/>
            <w:r w:rsidRPr="004C2AF0">
              <w:rPr>
                <w:rFonts w:eastAsia="Calibri" w:cstheme="minorHAnsi"/>
                <w:highlight w:val="cyan"/>
              </w:rPr>
              <w:t xml:space="preserve"> public interest objectives, should not be affected by this Regulation.</w:t>
            </w:r>
          </w:p>
        </w:tc>
        <w:tc>
          <w:tcPr>
            <w:tcW w:w="3971" w:type="dxa"/>
          </w:tcPr>
          <w:p w14:paraId="499EB705" w14:textId="77777777" w:rsidR="005265DC" w:rsidRPr="004C2AF0" w:rsidRDefault="005265DC" w:rsidP="006B4433">
            <w:pPr>
              <w:jc w:val="both"/>
              <w:rPr>
                <w:rFonts w:cstheme="minorHAnsi"/>
                <w:b/>
                <w:bCs/>
                <w:color w:val="07091D"/>
              </w:rPr>
            </w:pPr>
            <w:r w:rsidRPr="004C2AF0">
              <w:rPr>
                <w:rFonts w:cstheme="minorHAnsi"/>
                <w:b/>
                <w:bCs/>
                <w:color w:val="07091D"/>
                <w:shd w:val="clear" w:color="auto" w:fill="FFFFFF"/>
              </w:rPr>
              <w:lastRenderedPageBreak/>
              <w:t>KEY CHANGES</w:t>
            </w:r>
          </w:p>
          <w:p w14:paraId="68E009DD" w14:textId="77777777" w:rsidR="005265DC" w:rsidRPr="004C2AF0" w:rsidRDefault="005265DC" w:rsidP="006B4433">
            <w:pPr>
              <w:jc w:val="both"/>
              <w:rPr>
                <w:rFonts w:cstheme="minorHAnsi"/>
              </w:rPr>
            </w:pPr>
            <w:r w:rsidRPr="004C2AF0">
              <w:rPr>
                <w:rFonts w:cstheme="minorHAnsi"/>
                <w:color w:val="07091D"/>
                <w:shd w:val="clear" w:color="auto" w:fill="FFFFFF"/>
              </w:rPr>
              <w:t xml:space="preserve">The EP inserted a new reference in Recital 16 to commercial practices that are lawful </w:t>
            </w:r>
            <w:r w:rsidRPr="004C2AF0">
              <w:rPr>
                <w:rFonts w:cstheme="minorHAnsi"/>
                <w:color w:val="07091D"/>
                <w:shd w:val="clear" w:color="auto" w:fill="FFFFFF"/>
              </w:rPr>
              <w:lastRenderedPageBreak/>
              <w:t>under the </w:t>
            </w:r>
            <w:hyperlink r:id="rId15" w:tgtFrame="_blank" w:history="1">
              <w:r w:rsidRPr="004C2AF0">
                <w:rPr>
                  <w:rStyle w:val="Hyperlink"/>
                  <w:rFonts w:cstheme="minorHAnsi"/>
                  <w:color w:val="51BEDA"/>
                  <w:bdr w:val="none" w:sz="0" w:space="0" w:color="auto" w:frame="1"/>
                  <w:shd w:val="clear" w:color="auto" w:fill="FFFFFF"/>
                </w:rPr>
                <w:t>Unfair Commercial Practices Directive</w:t>
              </w:r>
            </w:hyperlink>
            <w:r w:rsidRPr="004C2AF0">
              <w:rPr>
                <w:rFonts w:cstheme="minorHAnsi"/>
                <w:color w:val="07091D"/>
                <w:shd w:val="clear" w:color="auto" w:fill="FFFFFF"/>
              </w:rPr>
              <w:t> – such as advertising lawfully having recourse to AI, which would not be prohibited because of them resorting to AI.</w:t>
            </w:r>
          </w:p>
          <w:p w14:paraId="75E75553" w14:textId="77777777" w:rsidR="005265DC" w:rsidRPr="004C2AF0" w:rsidRDefault="005265DC" w:rsidP="006B4433">
            <w:pPr>
              <w:rPr>
                <w:rFonts w:cstheme="minorHAnsi"/>
              </w:rPr>
            </w:pPr>
          </w:p>
          <w:p w14:paraId="46C13C86" w14:textId="77777777" w:rsidR="005265DC" w:rsidRPr="004C2AF0" w:rsidRDefault="005265DC" w:rsidP="006B4433">
            <w:pPr>
              <w:rPr>
                <w:rFonts w:cstheme="minorHAnsi"/>
                <w:b/>
                <w:bCs/>
              </w:rPr>
            </w:pPr>
            <w:r w:rsidRPr="004C2AF0">
              <w:rPr>
                <w:rFonts w:cstheme="minorHAnsi"/>
                <w:b/>
                <w:bCs/>
              </w:rPr>
              <w:t>FEDMA’S RECOMMENDATION:</w:t>
            </w:r>
          </w:p>
          <w:p w14:paraId="7E3BC5C1" w14:textId="77777777" w:rsidR="005265DC" w:rsidRPr="004C2AF0" w:rsidRDefault="005265DC" w:rsidP="006B4433">
            <w:pPr>
              <w:rPr>
                <w:rFonts w:cstheme="minorHAnsi"/>
              </w:rPr>
            </w:pPr>
            <w:r w:rsidRPr="004C2AF0">
              <w:rPr>
                <w:rFonts w:cstheme="minorHAnsi"/>
              </w:rPr>
              <w:t>Avoiding a broad definition of AI which could encompass many software applications which could lead to "retroactive" costs to bring systems already in the market into compliance.</w:t>
            </w:r>
          </w:p>
          <w:p w14:paraId="561E7E97" w14:textId="77777777" w:rsidR="005265DC" w:rsidRPr="004C2AF0" w:rsidRDefault="005265DC" w:rsidP="006B4433">
            <w:pPr>
              <w:rPr>
                <w:rFonts w:cstheme="minorHAnsi"/>
              </w:rPr>
            </w:pPr>
          </w:p>
          <w:p w14:paraId="6AEB3BE6" w14:textId="77777777" w:rsidR="005265DC" w:rsidRPr="004C2AF0" w:rsidRDefault="005265DC" w:rsidP="006B4433">
            <w:pPr>
              <w:spacing w:line="259" w:lineRule="auto"/>
              <w:rPr>
                <w:rFonts w:cstheme="minorHAnsi"/>
                <w:b/>
                <w:bCs/>
              </w:rPr>
            </w:pPr>
            <w:r w:rsidRPr="004C2AF0">
              <w:rPr>
                <w:rFonts w:cstheme="minorHAnsi"/>
                <w:b/>
                <w:bCs/>
              </w:rPr>
              <w:t>WHICH TEXT DO YOU SUPPORT?</w:t>
            </w:r>
          </w:p>
          <w:p w14:paraId="5D65C69C"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Commission</w:t>
            </w:r>
          </w:p>
          <w:p w14:paraId="248149C8"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Parliament</w:t>
            </w:r>
          </w:p>
          <w:p w14:paraId="0EF841D8"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Council of the EU</w:t>
            </w:r>
          </w:p>
          <w:p w14:paraId="6502BA2F" w14:textId="77777777" w:rsidR="005265DC" w:rsidRPr="004C2AF0" w:rsidRDefault="005265DC" w:rsidP="006B4433">
            <w:pPr>
              <w:rPr>
                <w:rFonts w:cstheme="minorHAnsi"/>
              </w:rPr>
            </w:pPr>
          </w:p>
        </w:tc>
      </w:tr>
      <w:tr w:rsidR="005265DC" w:rsidRPr="004C2AF0" w14:paraId="1566B1C5" w14:textId="77777777" w:rsidTr="001B49BB">
        <w:trPr>
          <w:trHeight w:val="397"/>
        </w:trPr>
        <w:tc>
          <w:tcPr>
            <w:tcW w:w="15882" w:type="dxa"/>
            <w:gridSpan w:val="7"/>
            <w:shd w:val="clear" w:color="auto" w:fill="00B0F0"/>
          </w:tcPr>
          <w:p w14:paraId="7DE89E7A" w14:textId="77777777" w:rsidR="005265DC" w:rsidRPr="001B49BB" w:rsidRDefault="005265DC" w:rsidP="006B4433">
            <w:pPr>
              <w:jc w:val="center"/>
              <w:rPr>
                <w:rFonts w:eastAsia="Calibri" w:cstheme="minorHAnsi"/>
                <w:b/>
                <w:color w:val="FFFFFF" w:themeColor="background1"/>
              </w:rPr>
            </w:pPr>
            <w:bookmarkStart w:id="1" w:name="DEFINITIONS"/>
            <w:r w:rsidRPr="001B49BB">
              <w:rPr>
                <w:rFonts w:eastAsia="Calibri" w:cstheme="minorHAnsi"/>
                <w:b/>
                <w:color w:val="FFFFFF" w:themeColor="background1"/>
              </w:rPr>
              <w:lastRenderedPageBreak/>
              <w:t>ARTICLE 3</w:t>
            </w:r>
            <w:r w:rsidRPr="001B49BB">
              <w:rPr>
                <w:rFonts w:eastAsia="Calibri" w:cstheme="minorHAnsi"/>
                <w:b/>
                <w:bCs/>
                <w:color w:val="FFFFFF" w:themeColor="background1"/>
              </w:rPr>
              <w:t>(</w:t>
            </w:r>
            <w:r w:rsidRPr="001B49BB">
              <w:rPr>
                <w:rFonts w:eastAsia="Calibri" w:cstheme="minorHAnsi"/>
                <w:b/>
                <w:color w:val="FFFFFF" w:themeColor="background1"/>
              </w:rPr>
              <w:t>1</w:t>
            </w:r>
            <w:r w:rsidRPr="001B49BB">
              <w:rPr>
                <w:rFonts w:eastAsia="Calibri" w:cstheme="minorHAnsi"/>
                <w:b/>
                <w:bCs/>
                <w:color w:val="FFFFFF" w:themeColor="background1"/>
              </w:rPr>
              <w:t>)(</w:t>
            </w:r>
            <w:r w:rsidRPr="001B49BB">
              <w:rPr>
                <w:rFonts w:eastAsia="Calibri" w:cstheme="minorHAnsi"/>
                <w:b/>
                <w:color w:val="FFFFFF" w:themeColor="background1"/>
              </w:rPr>
              <w:t>1)</w:t>
            </w:r>
          </w:p>
          <w:p w14:paraId="6014B4BD" w14:textId="77777777" w:rsidR="005265DC" w:rsidRPr="001B49BB" w:rsidRDefault="005265DC" w:rsidP="006B4433">
            <w:pPr>
              <w:jc w:val="center"/>
              <w:rPr>
                <w:rFonts w:eastAsia="Calibri" w:cstheme="minorHAnsi"/>
                <w:b/>
                <w:color w:val="FFFFFF" w:themeColor="background1"/>
              </w:rPr>
            </w:pPr>
            <w:r w:rsidRPr="001B49BB">
              <w:rPr>
                <w:rFonts w:eastAsia="Calibri" w:cstheme="minorHAnsi"/>
                <w:b/>
                <w:color w:val="FFFFFF" w:themeColor="background1"/>
              </w:rPr>
              <w:t>Definitions</w:t>
            </w:r>
            <w:bookmarkEnd w:id="1"/>
          </w:p>
        </w:tc>
      </w:tr>
      <w:tr w:rsidR="005265DC" w:rsidRPr="004C2AF0" w14:paraId="79102229" w14:textId="77777777" w:rsidTr="001B49BB">
        <w:trPr>
          <w:trHeight w:val="300"/>
        </w:trPr>
        <w:tc>
          <w:tcPr>
            <w:tcW w:w="4658" w:type="dxa"/>
            <w:gridSpan w:val="2"/>
          </w:tcPr>
          <w:p w14:paraId="1FBE96C1" w14:textId="77777777" w:rsidR="005265DC" w:rsidRPr="004C2AF0" w:rsidRDefault="005265DC" w:rsidP="006B4433">
            <w:pPr>
              <w:rPr>
                <w:rFonts w:cstheme="minorHAnsi"/>
              </w:rPr>
            </w:pPr>
            <w:r w:rsidRPr="004C2AF0">
              <w:rPr>
                <w:rFonts w:eastAsia="Calibri" w:cstheme="minorHAnsi"/>
              </w:rPr>
              <w:lastRenderedPageBreak/>
              <w:t>(1) ‘artificial intelligence system’ (AI system) means software that is developed with one or more of the techniques and approaches listed in Annex I and can, for a given set of human-defined objectives, generate outputs such as content, predictions, recommendations, or decisions influencing the environments they interact with;</w:t>
            </w:r>
          </w:p>
        </w:tc>
        <w:tc>
          <w:tcPr>
            <w:tcW w:w="3479" w:type="dxa"/>
            <w:gridSpan w:val="2"/>
          </w:tcPr>
          <w:p w14:paraId="6DAA28D3" w14:textId="77777777" w:rsidR="005265DC" w:rsidRPr="004C2AF0" w:rsidRDefault="005265DC" w:rsidP="006B4433">
            <w:pPr>
              <w:rPr>
                <w:rFonts w:cstheme="minorHAnsi"/>
              </w:rPr>
            </w:pPr>
            <w:r w:rsidRPr="004C2AF0">
              <w:rPr>
                <w:rFonts w:eastAsia="Calibri" w:cstheme="minorHAnsi"/>
              </w:rPr>
              <w:t xml:space="preserve">(1) ‘‘artificial intelligence system’ (AI system) means </w:t>
            </w:r>
            <w:r w:rsidRPr="004C2AF0">
              <w:rPr>
                <w:rFonts w:eastAsia="Calibri" w:cstheme="minorHAnsi"/>
                <w:i/>
                <w:iCs/>
                <w:strike/>
                <w:highlight w:val="yellow"/>
              </w:rPr>
              <w:t>software</w:t>
            </w:r>
            <w:r w:rsidRPr="004C2AF0">
              <w:rPr>
                <w:rFonts w:eastAsia="Calibri" w:cstheme="minorHAnsi"/>
              </w:rPr>
              <w:t xml:space="preserve"> </w:t>
            </w:r>
            <w:r w:rsidRPr="004C2AF0">
              <w:rPr>
                <w:rFonts w:eastAsia="Calibri" w:cstheme="minorHAnsi"/>
                <w:highlight w:val="cyan"/>
              </w:rPr>
              <w:t xml:space="preserve">a machine-based </w:t>
            </w:r>
            <w:r w:rsidRPr="004C2AF0">
              <w:rPr>
                <w:rFonts w:eastAsia="Calibri" w:cstheme="minorHAnsi"/>
                <w:highlight w:val="cyan"/>
                <w:u w:val="single"/>
              </w:rPr>
              <w:t>system</w:t>
            </w:r>
            <w:r w:rsidRPr="004C2AF0">
              <w:rPr>
                <w:rFonts w:eastAsia="Calibri" w:cstheme="minorHAnsi"/>
              </w:rPr>
              <w:t xml:space="preserve"> that is </w:t>
            </w:r>
            <w:r w:rsidRPr="004C2AF0">
              <w:rPr>
                <w:rFonts w:eastAsia="Calibri" w:cstheme="minorHAnsi"/>
                <w:i/>
                <w:iCs/>
                <w:strike/>
                <w:highlight w:val="yellow"/>
              </w:rPr>
              <w:t>developed</w:t>
            </w:r>
            <w:r w:rsidRPr="004C2AF0">
              <w:rPr>
                <w:rFonts w:eastAsia="Calibri" w:cstheme="minorHAnsi"/>
              </w:rPr>
              <w:t xml:space="preserve"> </w:t>
            </w:r>
            <w:r w:rsidRPr="004C2AF0">
              <w:rPr>
                <w:rFonts w:eastAsia="Calibri" w:cstheme="minorHAnsi"/>
                <w:highlight w:val="cyan"/>
                <w:u w:val="single"/>
              </w:rPr>
              <w:t>designed to operate</w:t>
            </w:r>
            <w:r w:rsidRPr="004C2AF0">
              <w:rPr>
                <w:rFonts w:eastAsia="Calibri" w:cstheme="minorHAnsi"/>
                <w:highlight w:val="cyan"/>
              </w:rPr>
              <w:t xml:space="preserve"> with varying levels of </w:t>
            </w:r>
            <w:r w:rsidRPr="004C2AF0">
              <w:rPr>
                <w:rFonts w:eastAsia="Calibri" w:cstheme="minorHAnsi"/>
                <w:highlight w:val="cyan"/>
                <w:u w:val="single"/>
              </w:rPr>
              <w:t>autonomy</w:t>
            </w:r>
            <w:r w:rsidRPr="004C2AF0">
              <w:rPr>
                <w:rFonts w:eastAsia="Calibri" w:cstheme="minorHAnsi"/>
              </w:rPr>
              <w:t xml:space="preserve"> and that can, for </w:t>
            </w:r>
            <w:r w:rsidRPr="004C2AF0">
              <w:rPr>
                <w:rFonts w:eastAsia="Calibri" w:cstheme="minorHAnsi"/>
                <w:highlight w:val="cyan"/>
              </w:rPr>
              <w:t>explicit or implicit</w:t>
            </w:r>
            <w:r w:rsidRPr="004C2AF0">
              <w:rPr>
                <w:rFonts w:eastAsia="Calibri" w:cstheme="minorHAnsi"/>
              </w:rPr>
              <w:t xml:space="preserve"> objectives, generate outputs such as </w:t>
            </w:r>
            <w:r w:rsidRPr="004C2AF0">
              <w:rPr>
                <w:rFonts w:eastAsia="Calibri" w:cstheme="minorHAnsi"/>
                <w:i/>
                <w:iCs/>
                <w:strike/>
              </w:rPr>
              <w:t>content</w:t>
            </w:r>
            <w:r w:rsidRPr="004C2AF0">
              <w:rPr>
                <w:rFonts w:eastAsia="Calibri" w:cstheme="minorHAnsi"/>
              </w:rPr>
              <w:t xml:space="preserve">; predictions, recommendations, or decisions, that influence </w:t>
            </w:r>
            <w:r w:rsidRPr="004C2AF0">
              <w:rPr>
                <w:rFonts w:eastAsia="Calibri" w:cstheme="minorHAnsi"/>
                <w:highlight w:val="cyan"/>
              </w:rPr>
              <w:t>physical or virtual</w:t>
            </w:r>
            <w:r w:rsidRPr="004C2AF0">
              <w:rPr>
                <w:rFonts w:eastAsia="Calibri" w:cstheme="minorHAnsi"/>
              </w:rPr>
              <w:t xml:space="preserve"> environments </w:t>
            </w:r>
            <w:r w:rsidRPr="004C2AF0">
              <w:rPr>
                <w:rFonts w:eastAsia="Calibri" w:cstheme="minorHAnsi"/>
                <w:i/>
                <w:iCs/>
                <w:strike/>
                <w:highlight w:val="yellow"/>
              </w:rPr>
              <w:t>they interact with</w:t>
            </w:r>
            <w:r w:rsidRPr="004C2AF0">
              <w:rPr>
                <w:rFonts w:eastAsia="Calibri" w:cstheme="minorHAnsi"/>
                <w:i/>
                <w:strike/>
                <w:highlight w:val="yellow"/>
              </w:rPr>
              <w:t>;</w:t>
            </w:r>
          </w:p>
        </w:tc>
        <w:tc>
          <w:tcPr>
            <w:tcW w:w="3479" w:type="dxa"/>
          </w:tcPr>
          <w:p w14:paraId="33ED2821" w14:textId="77777777" w:rsidR="005265DC" w:rsidRPr="004C2AF0" w:rsidRDefault="005265DC" w:rsidP="006B4433">
            <w:pPr>
              <w:rPr>
                <w:rFonts w:eastAsia="Calibri" w:cstheme="minorHAnsi"/>
              </w:rPr>
            </w:pPr>
            <w:r w:rsidRPr="004C2AF0">
              <w:rPr>
                <w:rFonts w:eastAsia="Calibri" w:cstheme="minorHAnsi"/>
              </w:rPr>
              <w:t>(1) ‘artificial intelligence system’ (AI system) means a</w:t>
            </w:r>
            <w:r w:rsidRPr="004C2AF0">
              <w:rPr>
                <w:rFonts w:eastAsia="Calibri" w:cstheme="minorHAnsi"/>
                <w:i/>
                <w:iCs/>
                <w:strike/>
              </w:rPr>
              <w:t xml:space="preserve"> </w:t>
            </w:r>
            <w:r w:rsidRPr="004C2AF0">
              <w:rPr>
                <w:rFonts w:eastAsia="Calibri" w:cstheme="minorHAnsi"/>
                <w:i/>
                <w:iCs/>
                <w:strike/>
                <w:highlight w:val="yellow"/>
              </w:rPr>
              <w:t>software</w:t>
            </w:r>
            <w:r w:rsidRPr="004C2AF0">
              <w:rPr>
                <w:rFonts w:eastAsia="Calibri" w:cstheme="minorHAnsi"/>
              </w:rPr>
              <w:t xml:space="preserve"> </w:t>
            </w:r>
            <w:r w:rsidRPr="004C2AF0">
              <w:rPr>
                <w:rFonts w:eastAsia="Calibri" w:cstheme="minorHAnsi"/>
                <w:highlight w:val="cyan"/>
                <w:u w:val="single"/>
              </w:rPr>
              <w:t>system</w:t>
            </w:r>
            <w:r w:rsidRPr="004C2AF0">
              <w:rPr>
                <w:rFonts w:eastAsia="Calibri" w:cstheme="minorHAnsi"/>
              </w:rPr>
              <w:t xml:space="preserve"> that is</w:t>
            </w:r>
            <w:r w:rsidRPr="004C2AF0">
              <w:rPr>
                <w:rFonts w:eastAsia="Calibri" w:cstheme="minorHAnsi"/>
                <w:u w:val="single"/>
              </w:rPr>
              <w:t xml:space="preserve"> </w:t>
            </w:r>
            <w:r w:rsidRPr="004C2AF0">
              <w:rPr>
                <w:rFonts w:eastAsia="Calibri" w:cstheme="minorHAnsi"/>
                <w:i/>
                <w:iCs/>
                <w:strike/>
                <w:highlight w:val="yellow"/>
              </w:rPr>
              <w:t>developed</w:t>
            </w:r>
            <w:r w:rsidRPr="004C2AF0">
              <w:rPr>
                <w:rFonts w:eastAsia="Calibri" w:cstheme="minorHAnsi"/>
              </w:rPr>
              <w:t xml:space="preserve"> </w:t>
            </w:r>
            <w:r w:rsidRPr="004C2AF0">
              <w:rPr>
                <w:rFonts w:eastAsia="Calibri" w:cstheme="minorHAnsi"/>
                <w:highlight w:val="cyan"/>
                <w:u w:val="single"/>
              </w:rPr>
              <w:t xml:space="preserve">designed to operate </w:t>
            </w:r>
            <w:r w:rsidRPr="004C2AF0">
              <w:rPr>
                <w:rFonts w:eastAsia="Calibri" w:cstheme="minorHAnsi"/>
                <w:highlight w:val="cyan"/>
              </w:rPr>
              <w:t xml:space="preserve">with elements of </w:t>
            </w:r>
            <w:r w:rsidRPr="004C2AF0">
              <w:rPr>
                <w:rFonts w:eastAsia="Calibri" w:cstheme="minorHAnsi"/>
                <w:highlight w:val="cyan"/>
                <w:u w:val="single"/>
              </w:rPr>
              <w:t>autonomy</w:t>
            </w:r>
            <w:r w:rsidRPr="004C2AF0">
              <w:rPr>
                <w:rFonts w:eastAsia="Calibri" w:cstheme="minorHAnsi"/>
              </w:rPr>
              <w:t xml:space="preserve"> and that, </w:t>
            </w:r>
            <w:r w:rsidRPr="004C2AF0">
              <w:rPr>
                <w:rFonts w:eastAsia="Calibri" w:cstheme="minorHAnsi"/>
                <w:highlight w:val="cyan"/>
              </w:rPr>
              <w:t>based on machine and/or human-provided data and inputs, infers how to achieve</w:t>
            </w:r>
            <w:r w:rsidRPr="004C2AF0">
              <w:rPr>
                <w:rFonts w:eastAsia="Calibri" w:cstheme="minorHAnsi"/>
              </w:rPr>
              <w:t xml:space="preserve"> a given set of objectives </w:t>
            </w:r>
            <w:r w:rsidRPr="004C2AF0">
              <w:rPr>
                <w:rFonts w:eastAsia="Calibri" w:cstheme="minorHAnsi"/>
                <w:highlight w:val="cyan"/>
              </w:rPr>
              <w:t>using machine learning and/or logic- and knowledge based approaches, and produces system-generated outputs</w:t>
            </w:r>
            <w:r w:rsidRPr="004C2AF0">
              <w:rPr>
                <w:rFonts w:eastAsia="Calibri" w:cstheme="minorHAnsi"/>
              </w:rPr>
              <w:t xml:space="preserve"> such as content </w:t>
            </w:r>
            <w:r w:rsidRPr="004C2AF0">
              <w:rPr>
                <w:rFonts w:eastAsia="Calibri" w:cstheme="minorHAnsi"/>
                <w:highlight w:val="cyan"/>
              </w:rPr>
              <w:t>(generative AI systems),</w:t>
            </w:r>
            <w:r w:rsidRPr="004C2AF0">
              <w:rPr>
                <w:rFonts w:eastAsia="Calibri" w:cstheme="minorHAnsi"/>
              </w:rPr>
              <w:t xml:space="preserve"> predictions, recommendations or decisions, influencing the environments </w:t>
            </w:r>
            <w:r w:rsidRPr="004C2AF0">
              <w:rPr>
                <w:rFonts w:eastAsia="Calibri" w:cstheme="minorHAnsi"/>
                <w:highlight w:val="cyan"/>
              </w:rPr>
              <w:t>with which the AI</w:t>
            </w:r>
            <w:r w:rsidRPr="004C2AF0">
              <w:rPr>
                <w:rFonts w:eastAsia="Calibri" w:cstheme="minorHAnsi"/>
              </w:rPr>
              <w:t xml:space="preserve"> system interacts </w:t>
            </w:r>
            <w:r w:rsidRPr="004C2AF0">
              <w:rPr>
                <w:rFonts w:eastAsia="Calibri" w:cstheme="minorHAnsi"/>
                <w:i/>
                <w:iCs/>
                <w:strike/>
                <w:highlight w:val="yellow"/>
              </w:rPr>
              <w:t>they interact with</w:t>
            </w:r>
            <w:r w:rsidRPr="004C2AF0">
              <w:rPr>
                <w:rFonts w:eastAsia="Calibri" w:cstheme="minorHAnsi"/>
              </w:rPr>
              <w:t>;</w:t>
            </w:r>
          </w:p>
        </w:tc>
        <w:tc>
          <w:tcPr>
            <w:tcW w:w="4266" w:type="dxa"/>
            <w:gridSpan w:val="2"/>
          </w:tcPr>
          <w:p w14:paraId="2C294F09" w14:textId="77777777" w:rsidR="005265DC" w:rsidRPr="004C2AF0" w:rsidRDefault="005265DC" w:rsidP="006B4433">
            <w:pPr>
              <w:rPr>
                <w:rFonts w:cstheme="minorHAnsi"/>
                <w:b/>
                <w:bCs/>
              </w:rPr>
            </w:pPr>
            <w:r w:rsidRPr="004C2AF0">
              <w:rPr>
                <w:rFonts w:cstheme="minorHAnsi"/>
                <w:b/>
                <w:bCs/>
              </w:rPr>
              <w:t>KEY CHANGES</w:t>
            </w:r>
          </w:p>
          <w:p w14:paraId="47C9C5F7" w14:textId="77777777" w:rsidR="005265DC" w:rsidRPr="004C2AF0" w:rsidRDefault="005265DC">
            <w:pPr>
              <w:pStyle w:val="ListParagraph"/>
              <w:numPr>
                <w:ilvl w:val="0"/>
                <w:numId w:val="3"/>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 xml:space="preserve">Both the EP and the Council aim to align their definition with the OECD's. </w:t>
            </w:r>
          </w:p>
          <w:p w14:paraId="22BC6954" w14:textId="77777777" w:rsidR="005265DC" w:rsidRPr="004C2AF0" w:rsidRDefault="005265DC">
            <w:pPr>
              <w:pStyle w:val="ListParagraph"/>
              <w:numPr>
                <w:ilvl w:val="0"/>
                <w:numId w:val="3"/>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 xml:space="preserve">The EP's definition describes an AI system as a machine-based system that operates with varying levels of autonomy and can generate output that influences physical or virtual environments. </w:t>
            </w:r>
          </w:p>
          <w:p w14:paraId="312171C4" w14:textId="77777777" w:rsidR="005265DC" w:rsidRPr="004C2AF0" w:rsidRDefault="005265DC">
            <w:pPr>
              <w:pStyle w:val="ListParagraph"/>
              <w:numPr>
                <w:ilvl w:val="0"/>
                <w:numId w:val="3"/>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The Council narrowed down the definition to focus on machine learning and logic- and knowledge-based approaches, excluding traditional software.</w:t>
            </w:r>
          </w:p>
          <w:p w14:paraId="6B163328" w14:textId="77777777" w:rsidR="005265DC" w:rsidRPr="004C2AF0" w:rsidRDefault="005265DC" w:rsidP="006B4433">
            <w:pPr>
              <w:rPr>
                <w:rFonts w:cstheme="minorHAnsi"/>
              </w:rPr>
            </w:pPr>
          </w:p>
          <w:p w14:paraId="4DB58642" w14:textId="77777777" w:rsidR="005265DC" w:rsidRPr="004C2AF0" w:rsidRDefault="005265DC" w:rsidP="006B4433">
            <w:pPr>
              <w:rPr>
                <w:rFonts w:cstheme="minorHAnsi"/>
                <w:b/>
                <w:bCs/>
              </w:rPr>
            </w:pPr>
            <w:r w:rsidRPr="004C2AF0">
              <w:rPr>
                <w:rFonts w:cstheme="minorHAnsi"/>
                <w:b/>
                <w:bCs/>
              </w:rPr>
              <w:t>FEDMA’S RECOMMENDATION:</w:t>
            </w:r>
          </w:p>
          <w:p w14:paraId="47EC6E37" w14:textId="77777777" w:rsidR="005265DC" w:rsidRPr="004C2AF0" w:rsidRDefault="005265DC" w:rsidP="006B4433">
            <w:pPr>
              <w:rPr>
                <w:rFonts w:cstheme="minorHAnsi"/>
              </w:rPr>
            </w:pPr>
            <w:r w:rsidRPr="004C2AF0">
              <w:rPr>
                <w:rFonts w:cstheme="minorHAnsi"/>
              </w:rPr>
              <w:t>Avoiding a broad definition of AI which could encompass many software applications which could lead to "retroactive" costs to bring systems already in the market into compliance.</w:t>
            </w:r>
          </w:p>
          <w:p w14:paraId="544CFE75" w14:textId="77777777" w:rsidR="005265DC" w:rsidRPr="004C2AF0" w:rsidRDefault="005265DC" w:rsidP="006B4433">
            <w:pPr>
              <w:rPr>
                <w:rFonts w:cstheme="minorHAnsi"/>
              </w:rPr>
            </w:pPr>
          </w:p>
          <w:p w14:paraId="28CABD79" w14:textId="77777777" w:rsidR="005265DC" w:rsidRPr="004C2AF0" w:rsidRDefault="005265DC" w:rsidP="006B4433">
            <w:pPr>
              <w:spacing w:line="259" w:lineRule="auto"/>
              <w:rPr>
                <w:rFonts w:cstheme="minorHAnsi"/>
                <w:b/>
                <w:bCs/>
              </w:rPr>
            </w:pPr>
            <w:r w:rsidRPr="004C2AF0">
              <w:rPr>
                <w:rFonts w:cstheme="minorHAnsi"/>
                <w:b/>
                <w:bCs/>
              </w:rPr>
              <w:t>WHICH TEXT DO YOU SUPPORT?</w:t>
            </w:r>
          </w:p>
          <w:p w14:paraId="04D3A52D"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Commission</w:t>
            </w:r>
          </w:p>
          <w:p w14:paraId="46745722"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Parliament</w:t>
            </w:r>
          </w:p>
          <w:p w14:paraId="783F9E7F"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Council of the EU</w:t>
            </w:r>
          </w:p>
          <w:p w14:paraId="3BB06499" w14:textId="77777777" w:rsidR="005265DC" w:rsidRPr="004C2AF0" w:rsidRDefault="005265DC" w:rsidP="006B4433">
            <w:pPr>
              <w:rPr>
                <w:rFonts w:cstheme="minorHAnsi"/>
              </w:rPr>
            </w:pPr>
          </w:p>
        </w:tc>
      </w:tr>
      <w:tr w:rsidR="005265DC" w:rsidRPr="004C2AF0" w14:paraId="1BC25709" w14:textId="77777777" w:rsidTr="001B49BB">
        <w:trPr>
          <w:trHeight w:val="397"/>
        </w:trPr>
        <w:tc>
          <w:tcPr>
            <w:tcW w:w="15882" w:type="dxa"/>
            <w:gridSpan w:val="7"/>
            <w:shd w:val="clear" w:color="auto" w:fill="00B0F0"/>
          </w:tcPr>
          <w:p w14:paraId="7AFB8443" w14:textId="77777777" w:rsidR="005265DC" w:rsidRPr="001B49BB" w:rsidRDefault="005265DC" w:rsidP="006B4433">
            <w:pPr>
              <w:jc w:val="center"/>
              <w:rPr>
                <w:rFonts w:eastAsia="Calibri" w:cstheme="minorHAnsi"/>
                <w:b/>
                <w:color w:val="FFFFFF" w:themeColor="background1"/>
              </w:rPr>
            </w:pPr>
            <w:bookmarkStart w:id="2" w:name="Prohibited"/>
            <w:r w:rsidRPr="001B49BB">
              <w:rPr>
                <w:rFonts w:eastAsia="Calibri" w:cstheme="minorHAnsi"/>
                <w:b/>
                <w:color w:val="FFFFFF" w:themeColor="background1"/>
              </w:rPr>
              <w:t>ARTICLE 5(1)(a)</w:t>
            </w:r>
          </w:p>
          <w:p w14:paraId="1E0E0AD5" w14:textId="77777777" w:rsidR="005265DC" w:rsidRPr="001B49BB" w:rsidRDefault="005265DC" w:rsidP="006B4433">
            <w:pPr>
              <w:jc w:val="center"/>
              <w:rPr>
                <w:rFonts w:eastAsia="Calibri" w:cstheme="minorHAnsi"/>
                <w:b/>
                <w:color w:val="FFFFFF" w:themeColor="background1"/>
              </w:rPr>
            </w:pPr>
            <w:r w:rsidRPr="001B49BB">
              <w:rPr>
                <w:rFonts w:eastAsia="Calibri" w:cstheme="minorHAnsi"/>
                <w:b/>
                <w:color w:val="FFFFFF" w:themeColor="background1"/>
              </w:rPr>
              <w:t>Prohibited Artificial Intelligence Practices</w:t>
            </w:r>
            <w:bookmarkEnd w:id="2"/>
          </w:p>
        </w:tc>
      </w:tr>
      <w:tr w:rsidR="005265DC" w:rsidRPr="004C2AF0" w14:paraId="5D081780" w14:textId="77777777" w:rsidTr="001B49BB">
        <w:trPr>
          <w:trHeight w:val="300"/>
        </w:trPr>
        <w:tc>
          <w:tcPr>
            <w:tcW w:w="4658" w:type="dxa"/>
            <w:gridSpan w:val="2"/>
          </w:tcPr>
          <w:p w14:paraId="0991BCF4" w14:textId="77777777" w:rsidR="005265DC" w:rsidRPr="004C2AF0" w:rsidRDefault="005265DC" w:rsidP="006B4433">
            <w:pPr>
              <w:rPr>
                <w:rFonts w:cstheme="minorHAnsi"/>
              </w:rPr>
            </w:pPr>
            <w:r w:rsidRPr="004C2AF0">
              <w:rPr>
                <w:rFonts w:eastAsia="Calibri" w:cstheme="minorHAnsi"/>
              </w:rPr>
              <w:t xml:space="preserve">(a) the placing on the market, putting into service or use of an AI system that deploys subliminal techniques beyond a person’s consciousness </w:t>
            </w:r>
            <w:proofErr w:type="gramStart"/>
            <w:r w:rsidRPr="004C2AF0">
              <w:rPr>
                <w:rFonts w:eastAsia="Calibri" w:cstheme="minorHAnsi"/>
              </w:rPr>
              <w:t>in order to</w:t>
            </w:r>
            <w:proofErr w:type="gramEnd"/>
            <w:r w:rsidRPr="004C2AF0">
              <w:rPr>
                <w:rFonts w:eastAsia="Calibri" w:cstheme="minorHAnsi"/>
              </w:rPr>
              <w:t xml:space="preserve"> materially distort a person’s behaviour </w:t>
            </w:r>
            <w:r w:rsidRPr="004C2AF0">
              <w:rPr>
                <w:rFonts w:eastAsia="Calibri" w:cstheme="minorHAnsi"/>
              </w:rPr>
              <w:lastRenderedPageBreak/>
              <w:t>in a manner that causes or is likely to cause that person or another person physical or psychological harm;</w:t>
            </w:r>
          </w:p>
        </w:tc>
        <w:tc>
          <w:tcPr>
            <w:tcW w:w="3479" w:type="dxa"/>
            <w:gridSpan w:val="2"/>
          </w:tcPr>
          <w:p w14:paraId="370A9776" w14:textId="77777777" w:rsidR="005265DC" w:rsidRPr="004C2AF0" w:rsidRDefault="005265DC" w:rsidP="006B4433">
            <w:pPr>
              <w:rPr>
                <w:rFonts w:cstheme="minorHAnsi"/>
              </w:rPr>
            </w:pPr>
            <w:r w:rsidRPr="004C2AF0">
              <w:rPr>
                <w:rFonts w:eastAsia="Calibri" w:cstheme="minorHAnsi"/>
              </w:rPr>
              <w:lastRenderedPageBreak/>
              <w:t xml:space="preserve">(a) the placing on the market, putting into service or use of an AI system that deploys subliminal techniques beyond a person’s </w:t>
            </w:r>
            <w:r w:rsidRPr="004C2AF0">
              <w:rPr>
                <w:rFonts w:eastAsia="Calibri" w:cstheme="minorHAnsi"/>
              </w:rPr>
              <w:lastRenderedPageBreak/>
              <w:t xml:space="preserve">consciousness </w:t>
            </w:r>
            <w:r w:rsidRPr="004C2AF0">
              <w:rPr>
                <w:rFonts w:eastAsia="Calibri" w:cstheme="minorHAnsi"/>
                <w:highlight w:val="cyan"/>
              </w:rPr>
              <w:t xml:space="preserve">or purposefully manipulative or deceptive techniques, </w:t>
            </w:r>
            <w:r w:rsidRPr="004C2AF0">
              <w:rPr>
                <w:rFonts w:eastAsia="Calibri" w:cstheme="minorHAnsi"/>
                <w:highlight w:val="cyan"/>
                <w:u w:val="single"/>
              </w:rPr>
              <w:t>with the objective to or the effect of</w:t>
            </w:r>
            <w:r w:rsidRPr="004C2AF0">
              <w:rPr>
                <w:rFonts w:eastAsia="Calibri" w:cstheme="minorHAnsi"/>
                <w:u w:val="single"/>
              </w:rPr>
              <w:t xml:space="preserve"> </w:t>
            </w:r>
            <w:r w:rsidRPr="004C2AF0">
              <w:rPr>
                <w:rFonts w:eastAsia="Calibri" w:cstheme="minorHAnsi"/>
              </w:rPr>
              <w:t xml:space="preserve">materially distorting a person’s or a </w:t>
            </w:r>
            <w:r w:rsidRPr="004C2AF0">
              <w:rPr>
                <w:rFonts w:eastAsia="Calibri" w:cstheme="minorHAnsi"/>
                <w:highlight w:val="cyan"/>
              </w:rPr>
              <w:t>group of persons’</w:t>
            </w:r>
            <w:r w:rsidRPr="004C2AF0">
              <w:rPr>
                <w:rFonts w:eastAsia="Calibri" w:cstheme="minorHAnsi"/>
              </w:rPr>
              <w:t xml:space="preserve"> behaviour </w:t>
            </w:r>
            <w:r w:rsidRPr="004C2AF0">
              <w:rPr>
                <w:rFonts w:eastAsia="Calibri" w:cstheme="minorHAnsi"/>
                <w:highlight w:val="cyan"/>
              </w:rPr>
              <w:t>by appreciably impairing the person’s ability to make an informed decision, thereby causing the person to take a decision that that person would not have otherwise taken</w:t>
            </w:r>
            <w:r w:rsidRPr="004C2AF0">
              <w:rPr>
                <w:rFonts w:eastAsia="Calibri" w:cstheme="minorHAnsi"/>
              </w:rPr>
              <w:t xml:space="preserve"> in a manner that causes or is likely to cause that person, </w:t>
            </w:r>
            <w:r w:rsidRPr="004C2AF0">
              <w:rPr>
                <w:rFonts w:eastAsia="Calibri" w:cstheme="minorHAnsi"/>
                <w:highlight w:val="cyan"/>
              </w:rPr>
              <w:t>another person or group of persons significant</w:t>
            </w:r>
            <w:r w:rsidRPr="004C2AF0">
              <w:rPr>
                <w:rFonts w:eastAsia="Calibri" w:cstheme="minorHAnsi"/>
              </w:rPr>
              <w:t xml:space="preserve"> </w:t>
            </w:r>
            <w:r w:rsidRPr="004C2AF0">
              <w:rPr>
                <w:rFonts w:eastAsia="Calibri" w:cstheme="minorHAnsi"/>
                <w:i/>
                <w:iCs/>
                <w:strike/>
              </w:rPr>
              <w:t xml:space="preserve">physical and </w:t>
            </w:r>
            <w:proofErr w:type="spellStart"/>
            <w:r w:rsidRPr="004C2AF0">
              <w:rPr>
                <w:rFonts w:eastAsia="Calibri" w:cstheme="minorHAnsi"/>
                <w:i/>
                <w:iCs/>
                <w:strike/>
              </w:rPr>
              <w:t>psycological</w:t>
            </w:r>
            <w:proofErr w:type="spellEnd"/>
            <w:r w:rsidRPr="004C2AF0">
              <w:rPr>
                <w:rFonts w:eastAsia="Calibri" w:cstheme="minorHAnsi"/>
                <w:i/>
                <w:iCs/>
                <w:strike/>
              </w:rPr>
              <w:t xml:space="preserve"> </w:t>
            </w:r>
            <w:r w:rsidRPr="004C2AF0">
              <w:rPr>
                <w:rFonts w:eastAsia="Calibri" w:cstheme="minorHAnsi"/>
                <w:i/>
                <w:iCs/>
              </w:rPr>
              <w:t>harm;</w:t>
            </w:r>
            <w:r w:rsidRPr="004C2AF0">
              <w:rPr>
                <w:rFonts w:eastAsia="Calibri" w:cstheme="minorHAnsi"/>
                <w:i/>
                <w:iCs/>
                <w:strike/>
              </w:rPr>
              <w:t xml:space="preserve"> </w:t>
            </w:r>
            <w:r w:rsidRPr="004C2AF0">
              <w:rPr>
                <w:rFonts w:eastAsia="Calibri" w:cstheme="minorHAnsi"/>
                <w:highlight w:val="cyan"/>
              </w:rPr>
              <w:t>The prohibition of AI system that deploys subliminal techniques referred to in the first sub-paragraph shall not apply to AI systems intended to be used for approved therapeutical purposes on the basis of specific informed consent of the individuals that are exposed to them or, where applicable, of their legal guardian;</w:t>
            </w:r>
          </w:p>
        </w:tc>
        <w:tc>
          <w:tcPr>
            <w:tcW w:w="3479" w:type="dxa"/>
          </w:tcPr>
          <w:p w14:paraId="2C6153E6" w14:textId="77777777" w:rsidR="005265DC" w:rsidRPr="004C2AF0" w:rsidRDefault="005265DC" w:rsidP="006B4433">
            <w:pPr>
              <w:rPr>
                <w:rFonts w:cstheme="minorHAnsi"/>
              </w:rPr>
            </w:pPr>
            <w:r w:rsidRPr="004C2AF0">
              <w:rPr>
                <w:rFonts w:eastAsia="Calibri" w:cstheme="minorHAnsi"/>
              </w:rPr>
              <w:lastRenderedPageBreak/>
              <w:t xml:space="preserve">(a) the placing on the market, putting into service or use of an AI system that deploys subliminal techniques beyond a person’s </w:t>
            </w:r>
            <w:r w:rsidRPr="004C2AF0">
              <w:rPr>
                <w:rFonts w:eastAsia="Calibri" w:cstheme="minorHAnsi"/>
              </w:rPr>
              <w:lastRenderedPageBreak/>
              <w:t xml:space="preserve">consciousness </w:t>
            </w:r>
            <w:r w:rsidRPr="004C2AF0">
              <w:rPr>
                <w:rFonts w:eastAsia="Calibri" w:cstheme="minorHAnsi"/>
                <w:highlight w:val="cyan"/>
                <w:u w:val="single"/>
              </w:rPr>
              <w:t>with the objective to or the effect</w:t>
            </w:r>
            <w:r w:rsidRPr="004C2AF0">
              <w:rPr>
                <w:rFonts w:eastAsia="Calibri" w:cstheme="minorHAnsi"/>
              </w:rPr>
              <w:t xml:space="preserve"> of materially distorting a person’s behaviour in a manner that causes or is </w:t>
            </w:r>
            <w:r w:rsidRPr="004C2AF0">
              <w:rPr>
                <w:rFonts w:eastAsia="Calibri" w:cstheme="minorHAnsi"/>
                <w:highlight w:val="cyan"/>
                <w:u w:val="single"/>
              </w:rPr>
              <w:t>r</w:t>
            </w:r>
            <w:r w:rsidRPr="004C2AF0">
              <w:rPr>
                <w:rFonts w:eastAsia="Calibri" w:cstheme="minorHAnsi"/>
                <w:highlight w:val="cyan"/>
              </w:rPr>
              <w:t>easonably</w:t>
            </w:r>
            <w:r w:rsidRPr="004C2AF0">
              <w:rPr>
                <w:rFonts w:eastAsia="Calibri" w:cstheme="minorHAnsi"/>
              </w:rPr>
              <w:t xml:space="preserve"> likely to cause that person or another person physical or psychological harm;</w:t>
            </w:r>
          </w:p>
        </w:tc>
        <w:tc>
          <w:tcPr>
            <w:tcW w:w="4266" w:type="dxa"/>
            <w:gridSpan w:val="2"/>
          </w:tcPr>
          <w:p w14:paraId="2CDC63B7" w14:textId="77777777" w:rsidR="005265DC" w:rsidRPr="004C2AF0" w:rsidRDefault="005265DC" w:rsidP="006B4433">
            <w:pPr>
              <w:rPr>
                <w:rFonts w:cstheme="minorHAnsi"/>
                <w:b/>
                <w:bCs/>
              </w:rPr>
            </w:pPr>
            <w:r w:rsidRPr="004C2AF0">
              <w:rPr>
                <w:rFonts w:cstheme="minorHAnsi"/>
                <w:b/>
                <w:bCs/>
              </w:rPr>
              <w:lastRenderedPageBreak/>
              <w:t>KEY CHANGES</w:t>
            </w:r>
          </w:p>
          <w:p w14:paraId="1DEA300F" w14:textId="77777777" w:rsidR="005265DC" w:rsidRPr="004C2AF0" w:rsidRDefault="005265DC" w:rsidP="006B4433">
            <w:pPr>
              <w:rPr>
                <w:rFonts w:cstheme="minorHAnsi"/>
              </w:rPr>
            </w:pPr>
            <w:r w:rsidRPr="004C2AF0">
              <w:rPr>
                <w:rFonts w:cstheme="minorHAnsi"/>
                <w:u w:val="single"/>
              </w:rPr>
              <w:t>Harm</w:t>
            </w:r>
            <w:r w:rsidRPr="004C2AF0">
              <w:rPr>
                <w:rFonts w:cstheme="minorHAnsi"/>
              </w:rPr>
              <w:t>:</w:t>
            </w:r>
          </w:p>
          <w:p w14:paraId="3C427B5A" w14:textId="77777777" w:rsidR="005265DC" w:rsidRPr="004C2AF0" w:rsidRDefault="005265DC" w:rsidP="006B4433">
            <w:pPr>
              <w:rPr>
                <w:rFonts w:cstheme="minorHAnsi"/>
              </w:rPr>
            </w:pPr>
            <w:r w:rsidRPr="004C2AF0">
              <w:rPr>
                <w:rFonts w:cstheme="minorHAnsi"/>
              </w:rPr>
              <w:lastRenderedPageBreak/>
              <w:t xml:space="preserve">The EP removes the distinction between physical/psychological harm while referring to significant harm </w:t>
            </w:r>
            <w:r w:rsidRPr="004C2AF0">
              <w:rPr>
                <w:rFonts w:eastAsia="Wingdings" w:cstheme="minorHAnsi"/>
              </w:rPr>
              <w:t>à</w:t>
            </w:r>
            <w:r w:rsidRPr="004C2AF0">
              <w:rPr>
                <w:rFonts w:cstheme="minorHAnsi"/>
              </w:rPr>
              <w:t xml:space="preserve"> broad meaning. </w:t>
            </w:r>
          </w:p>
          <w:p w14:paraId="5D83059C" w14:textId="77777777" w:rsidR="005265DC" w:rsidRPr="004C2AF0" w:rsidRDefault="005265DC" w:rsidP="006B4433">
            <w:pPr>
              <w:rPr>
                <w:rFonts w:cstheme="minorHAnsi"/>
              </w:rPr>
            </w:pPr>
            <w:r w:rsidRPr="004C2AF0">
              <w:rPr>
                <w:rFonts w:cstheme="minorHAnsi"/>
              </w:rPr>
              <w:t xml:space="preserve">The Council maintains such distinction. </w:t>
            </w:r>
          </w:p>
          <w:p w14:paraId="067B0A51" w14:textId="77777777" w:rsidR="005265DC" w:rsidRPr="004C2AF0" w:rsidRDefault="005265DC" w:rsidP="006B4433">
            <w:pPr>
              <w:rPr>
                <w:rFonts w:cstheme="minorHAnsi"/>
              </w:rPr>
            </w:pPr>
          </w:p>
          <w:p w14:paraId="39477455" w14:textId="77777777" w:rsidR="005265DC" w:rsidRPr="004C2AF0" w:rsidRDefault="005265DC" w:rsidP="006B4433">
            <w:pPr>
              <w:rPr>
                <w:rFonts w:cstheme="minorHAnsi"/>
              </w:rPr>
            </w:pPr>
            <w:r w:rsidRPr="004C2AF0">
              <w:rPr>
                <w:rFonts w:cstheme="minorHAnsi"/>
                <w:u w:val="single"/>
              </w:rPr>
              <w:t>Dark Patterns</w:t>
            </w:r>
            <w:r w:rsidRPr="004C2AF0">
              <w:rPr>
                <w:rFonts w:cstheme="minorHAnsi"/>
              </w:rPr>
              <w:t>:</w:t>
            </w:r>
          </w:p>
          <w:p w14:paraId="0546AF7C" w14:textId="77777777" w:rsidR="005265DC" w:rsidRPr="004C2AF0" w:rsidRDefault="005265DC" w:rsidP="006B4433">
            <w:pPr>
              <w:rPr>
                <w:rFonts w:cstheme="minorHAnsi"/>
              </w:rPr>
            </w:pPr>
            <w:r w:rsidRPr="004C2AF0">
              <w:rPr>
                <w:rFonts w:cstheme="minorHAnsi"/>
              </w:rPr>
              <w:t>The EP explicitly refers to the use of dark patterns when referring to manipulative/deceptive techniques</w:t>
            </w:r>
          </w:p>
          <w:p w14:paraId="03C6C9EB" w14:textId="77777777" w:rsidR="005265DC" w:rsidRPr="004C2AF0" w:rsidRDefault="005265DC" w:rsidP="006B4433">
            <w:pPr>
              <w:rPr>
                <w:rFonts w:cstheme="minorHAnsi"/>
                <w:b/>
                <w:bCs/>
              </w:rPr>
            </w:pPr>
          </w:p>
          <w:p w14:paraId="7C3CF3BD" w14:textId="77777777" w:rsidR="005265DC" w:rsidRPr="004C2AF0" w:rsidRDefault="005265DC" w:rsidP="006B4433">
            <w:pPr>
              <w:rPr>
                <w:rFonts w:cstheme="minorHAnsi"/>
                <w:b/>
                <w:bCs/>
              </w:rPr>
            </w:pPr>
            <w:r w:rsidRPr="004C2AF0">
              <w:rPr>
                <w:rFonts w:cstheme="minorHAnsi"/>
                <w:b/>
                <w:bCs/>
              </w:rPr>
              <w:t>FEDMA’S RECOMMENDATION:</w:t>
            </w:r>
          </w:p>
          <w:p w14:paraId="495FA2C7" w14:textId="77777777" w:rsidR="005265DC" w:rsidRPr="004C2AF0" w:rsidRDefault="005265DC" w:rsidP="006B4433">
            <w:pPr>
              <w:rPr>
                <w:rFonts w:cstheme="minorHAnsi"/>
              </w:rPr>
            </w:pPr>
            <w:r w:rsidRPr="004C2AF0">
              <w:rPr>
                <w:rFonts w:cstheme="minorHAnsi"/>
              </w:rPr>
              <w:t xml:space="preserve">Making sure that the wording of the Article does not leave for interpretation suggesting that legitimate marketing practices, powered by AI, for the promotion of products and services could be considered as subliminal, </w:t>
            </w:r>
            <w:proofErr w:type="gramStart"/>
            <w:r w:rsidRPr="004C2AF0">
              <w:rPr>
                <w:rFonts w:cstheme="minorHAnsi"/>
              </w:rPr>
              <w:t>deceptive</w:t>
            </w:r>
            <w:proofErr w:type="gramEnd"/>
            <w:r w:rsidRPr="004C2AF0">
              <w:rPr>
                <w:rFonts w:cstheme="minorHAnsi"/>
              </w:rPr>
              <w:t xml:space="preserve"> or manipulative techniques beyond a person’s consciousness.</w:t>
            </w:r>
          </w:p>
          <w:p w14:paraId="74F495B7" w14:textId="77777777" w:rsidR="005265DC" w:rsidRPr="004C2AF0" w:rsidRDefault="005265DC" w:rsidP="006B4433">
            <w:pPr>
              <w:rPr>
                <w:rFonts w:cstheme="minorHAnsi"/>
              </w:rPr>
            </w:pPr>
          </w:p>
          <w:p w14:paraId="66207D1F" w14:textId="77777777" w:rsidR="005265DC" w:rsidRPr="004C2AF0" w:rsidRDefault="005265DC" w:rsidP="006B4433">
            <w:pPr>
              <w:spacing w:line="259" w:lineRule="auto"/>
              <w:rPr>
                <w:rFonts w:cstheme="minorHAnsi"/>
                <w:b/>
                <w:bCs/>
              </w:rPr>
            </w:pPr>
            <w:r w:rsidRPr="004C2AF0">
              <w:rPr>
                <w:rFonts w:cstheme="minorHAnsi"/>
                <w:b/>
                <w:bCs/>
              </w:rPr>
              <w:t>WHICH TEXT DO YOU SUPPORT?</w:t>
            </w:r>
          </w:p>
          <w:p w14:paraId="076D00FB" w14:textId="77777777" w:rsidR="005265DC" w:rsidRPr="004C2AF0" w:rsidRDefault="005265DC">
            <w:pPr>
              <w:pStyle w:val="ListParagraph"/>
              <w:numPr>
                <w:ilvl w:val="0"/>
                <w:numId w:val="4"/>
              </w:numPr>
              <w:suppressAutoHyphens w:val="0"/>
              <w:autoSpaceDN/>
              <w:spacing w:after="0" w:line="240" w:lineRule="auto"/>
              <w:contextualSpacing/>
              <w:textAlignment w:val="auto"/>
              <w:rPr>
                <w:rFonts w:asciiTheme="minorHAnsi" w:hAnsiTheme="minorHAnsi" w:cstheme="minorHAnsi"/>
              </w:rPr>
            </w:pPr>
            <w:r w:rsidRPr="004C2AF0">
              <w:rPr>
                <w:rFonts w:asciiTheme="minorHAnsi" w:hAnsiTheme="minorHAnsi" w:cstheme="minorHAnsi"/>
              </w:rPr>
              <w:t>European Commission</w:t>
            </w:r>
          </w:p>
          <w:p w14:paraId="7BCB542D" w14:textId="77777777" w:rsidR="005265DC" w:rsidRPr="004C2AF0" w:rsidRDefault="005265DC">
            <w:pPr>
              <w:pStyle w:val="ListParagraph"/>
              <w:numPr>
                <w:ilvl w:val="0"/>
                <w:numId w:val="4"/>
              </w:numPr>
              <w:suppressAutoHyphens w:val="0"/>
              <w:autoSpaceDN/>
              <w:spacing w:after="0" w:line="240" w:lineRule="auto"/>
              <w:contextualSpacing/>
              <w:textAlignment w:val="auto"/>
              <w:rPr>
                <w:rFonts w:asciiTheme="minorHAnsi" w:hAnsiTheme="minorHAnsi" w:cstheme="minorHAnsi"/>
              </w:rPr>
            </w:pPr>
            <w:r w:rsidRPr="004C2AF0">
              <w:rPr>
                <w:rFonts w:asciiTheme="minorHAnsi" w:hAnsiTheme="minorHAnsi" w:cstheme="minorHAnsi"/>
              </w:rPr>
              <w:t>European Parliament</w:t>
            </w:r>
          </w:p>
          <w:p w14:paraId="42694EFD" w14:textId="77777777" w:rsidR="005265DC" w:rsidRPr="004C2AF0" w:rsidRDefault="005265DC">
            <w:pPr>
              <w:pStyle w:val="ListParagraph"/>
              <w:numPr>
                <w:ilvl w:val="0"/>
                <w:numId w:val="4"/>
              </w:numPr>
              <w:suppressAutoHyphens w:val="0"/>
              <w:autoSpaceDN/>
              <w:spacing w:after="0" w:line="240" w:lineRule="auto"/>
              <w:contextualSpacing/>
              <w:textAlignment w:val="auto"/>
              <w:rPr>
                <w:rFonts w:asciiTheme="minorHAnsi" w:hAnsiTheme="minorHAnsi" w:cstheme="minorHAnsi"/>
              </w:rPr>
            </w:pPr>
            <w:r w:rsidRPr="004C2AF0">
              <w:rPr>
                <w:rFonts w:asciiTheme="minorHAnsi" w:hAnsiTheme="minorHAnsi" w:cstheme="minorHAnsi"/>
              </w:rPr>
              <w:t>Council of the EU</w:t>
            </w:r>
          </w:p>
        </w:tc>
      </w:tr>
      <w:tr w:rsidR="005265DC" w:rsidRPr="004C2AF0" w14:paraId="51C25644" w14:textId="77777777" w:rsidTr="001B49BB">
        <w:trPr>
          <w:trHeight w:val="300"/>
        </w:trPr>
        <w:tc>
          <w:tcPr>
            <w:tcW w:w="15882" w:type="dxa"/>
            <w:gridSpan w:val="7"/>
            <w:shd w:val="clear" w:color="auto" w:fill="00B0F0"/>
          </w:tcPr>
          <w:p w14:paraId="1A7A704E" w14:textId="77777777" w:rsidR="005265DC" w:rsidRPr="001B49BB" w:rsidRDefault="005265DC" w:rsidP="006B4433">
            <w:pPr>
              <w:jc w:val="center"/>
              <w:rPr>
                <w:rFonts w:eastAsia="Calibri" w:cstheme="minorHAnsi"/>
                <w:b/>
                <w:bCs/>
                <w:color w:val="FFFFFF" w:themeColor="background1"/>
              </w:rPr>
            </w:pPr>
            <w:bookmarkStart w:id="3" w:name="classification"/>
            <w:r w:rsidRPr="001B49BB">
              <w:rPr>
                <w:rFonts w:eastAsia="Calibri" w:cstheme="minorHAnsi"/>
                <w:b/>
                <w:bCs/>
                <w:color w:val="FFFFFF" w:themeColor="background1"/>
              </w:rPr>
              <w:lastRenderedPageBreak/>
              <w:t>ARTICLE 6</w:t>
            </w:r>
          </w:p>
          <w:p w14:paraId="66331BE7" w14:textId="77777777" w:rsidR="005265DC" w:rsidRPr="001B49BB" w:rsidRDefault="005265DC" w:rsidP="006B4433">
            <w:pPr>
              <w:jc w:val="center"/>
              <w:rPr>
                <w:rFonts w:cstheme="minorHAnsi"/>
                <w:b/>
                <w:bCs/>
                <w:color w:val="FFFFFF" w:themeColor="background1"/>
              </w:rPr>
            </w:pPr>
            <w:r w:rsidRPr="001B49BB">
              <w:rPr>
                <w:rFonts w:cstheme="minorHAnsi"/>
                <w:b/>
                <w:bCs/>
                <w:color w:val="FFFFFF" w:themeColor="background1"/>
              </w:rPr>
              <w:t>Classification rules for high-risk AI systems</w:t>
            </w:r>
            <w:bookmarkEnd w:id="3"/>
          </w:p>
        </w:tc>
      </w:tr>
      <w:tr w:rsidR="005265DC" w:rsidRPr="004C2AF0" w14:paraId="304E4B36" w14:textId="77777777" w:rsidTr="001B49BB">
        <w:trPr>
          <w:trHeight w:val="300"/>
        </w:trPr>
        <w:tc>
          <w:tcPr>
            <w:tcW w:w="4658" w:type="dxa"/>
            <w:gridSpan w:val="2"/>
          </w:tcPr>
          <w:p w14:paraId="27745761" w14:textId="77777777" w:rsidR="005265DC" w:rsidRPr="004C2AF0" w:rsidRDefault="005265DC" w:rsidP="006B4433">
            <w:pPr>
              <w:rPr>
                <w:rFonts w:cstheme="minorHAnsi"/>
              </w:rPr>
            </w:pPr>
            <w:r w:rsidRPr="004C2AF0">
              <w:rPr>
                <w:rFonts w:cstheme="minorHAnsi"/>
              </w:rPr>
              <w:t xml:space="preserve">Irrespective of whether an AI system is placed on the market or put into service independently from the products referred to in points (a) and (b), that AI system shall be considered high-risk where both of the following conditions are fulfilled: </w:t>
            </w:r>
          </w:p>
          <w:p w14:paraId="3548F490" w14:textId="77777777" w:rsidR="005265DC" w:rsidRPr="004C2AF0" w:rsidRDefault="005265DC" w:rsidP="006B4433">
            <w:pPr>
              <w:rPr>
                <w:rFonts w:cstheme="minorHAnsi"/>
              </w:rPr>
            </w:pPr>
            <w:r w:rsidRPr="004C2AF0">
              <w:rPr>
                <w:rFonts w:cstheme="minorHAnsi"/>
              </w:rPr>
              <w:lastRenderedPageBreak/>
              <w:t xml:space="preserve">(a) the AI system is intended to be used as a safety component of a product, or is itself a product, covered by the Union harmonisation legislation listed in Annex </w:t>
            </w:r>
            <w:proofErr w:type="gramStart"/>
            <w:r w:rsidRPr="004C2AF0">
              <w:rPr>
                <w:rFonts w:cstheme="minorHAnsi"/>
              </w:rPr>
              <w:t>II;</w:t>
            </w:r>
            <w:proofErr w:type="gramEnd"/>
            <w:r w:rsidRPr="004C2AF0">
              <w:rPr>
                <w:rFonts w:cstheme="minorHAnsi"/>
              </w:rPr>
              <w:t xml:space="preserve"> </w:t>
            </w:r>
          </w:p>
          <w:p w14:paraId="4ADB075D" w14:textId="77777777" w:rsidR="005265DC" w:rsidRPr="004C2AF0" w:rsidRDefault="005265DC" w:rsidP="006B4433">
            <w:pPr>
              <w:rPr>
                <w:rFonts w:cstheme="minorHAnsi"/>
              </w:rPr>
            </w:pPr>
            <w:r w:rsidRPr="004C2AF0">
              <w:rPr>
                <w:rFonts w:cstheme="minorHAnsi"/>
              </w:rPr>
              <w:t xml:space="preserve">(b) the product whose safety component is the AI system, or the AI system itself as a product, is required to undergo a third-party conformity assessment with a view to the placing on the market or putting into service of that product pursuant to the Union harmonisation legislation listed in Annex II. </w:t>
            </w:r>
          </w:p>
          <w:p w14:paraId="4FB64676" w14:textId="77777777" w:rsidR="005265DC" w:rsidRPr="004C2AF0" w:rsidRDefault="005265DC" w:rsidP="006B4433">
            <w:pPr>
              <w:rPr>
                <w:rFonts w:eastAsia="Calibri" w:cstheme="minorHAnsi"/>
              </w:rPr>
            </w:pPr>
            <w:r w:rsidRPr="004C2AF0">
              <w:rPr>
                <w:rFonts w:cstheme="minorHAnsi"/>
              </w:rPr>
              <w:t>2. In addition to the high-risk AI systems referred to in paragraph 1, AI systems referred to in Annex III shall also be considered high-risk.</w:t>
            </w:r>
          </w:p>
        </w:tc>
        <w:tc>
          <w:tcPr>
            <w:tcW w:w="3479" w:type="dxa"/>
            <w:gridSpan w:val="2"/>
          </w:tcPr>
          <w:p w14:paraId="1EBA083E" w14:textId="77777777" w:rsidR="005265DC" w:rsidRPr="004C2AF0" w:rsidRDefault="005265DC" w:rsidP="006B4433">
            <w:pPr>
              <w:rPr>
                <w:rFonts w:cstheme="minorHAnsi"/>
              </w:rPr>
            </w:pPr>
            <w:r w:rsidRPr="004C2AF0">
              <w:rPr>
                <w:rFonts w:cstheme="minorHAnsi"/>
              </w:rPr>
              <w:lastRenderedPageBreak/>
              <w:t xml:space="preserve">Irrespective of whether an AI system is placed on the market or put into service independently from the products referred to in points (a) and (b), that AI system shall be considered high-risk where both of </w:t>
            </w:r>
            <w:r w:rsidRPr="004C2AF0">
              <w:rPr>
                <w:rFonts w:cstheme="minorHAnsi"/>
              </w:rPr>
              <w:lastRenderedPageBreak/>
              <w:t xml:space="preserve">the following conditions are fulfilled: </w:t>
            </w:r>
          </w:p>
          <w:p w14:paraId="61DAF129" w14:textId="77777777" w:rsidR="005265DC" w:rsidRPr="004C2AF0" w:rsidRDefault="005265DC" w:rsidP="006B4433">
            <w:pPr>
              <w:rPr>
                <w:rFonts w:cstheme="minorHAnsi"/>
              </w:rPr>
            </w:pPr>
          </w:p>
          <w:p w14:paraId="2762AC67" w14:textId="77777777" w:rsidR="005265DC" w:rsidRPr="004C2AF0" w:rsidRDefault="005265DC">
            <w:pPr>
              <w:pStyle w:val="ListParagraph"/>
              <w:numPr>
                <w:ilvl w:val="0"/>
                <w:numId w:val="6"/>
              </w:numPr>
              <w:suppressAutoHyphens w:val="0"/>
              <w:autoSpaceDN/>
              <w:spacing w:after="0" w:line="240" w:lineRule="auto"/>
              <w:ind w:left="0" w:firstLine="9"/>
              <w:contextualSpacing/>
              <w:textAlignment w:val="auto"/>
              <w:rPr>
                <w:rFonts w:asciiTheme="minorHAnsi" w:hAnsiTheme="minorHAnsi" w:cstheme="minorHAnsi"/>
              </w:rPr>
            </w:pPr>
            <w:r w:rsidRPr="004C2AF0">
              <w:rPr>
                <w:rFonts w:asciiTheme="minorHAnsi" w:hAnsiTheme="minorHAnsi" w:cstheme="minorHAnsi"/>
              </w:rPr>
              <w:t xml:space="preserve">the AI system is intended to be used as a safety component of a product, </w:t>
            </w:r>
            <w:r w:rsidRPr="004C2AF0">
              <w:rPr>
                <w:rFonts w:asciiTheme="minorHAnsi" w:hAnsiTheme="minorHAnsi" w:cstheme="minorHAnsi"/>
                <w:highlight w:val="cyan"/>
              </w:rPr>
              <w:t>or the AI system</w:t>
            </w:r>
            <w:r w:rsidRPr="004C2AF0">
              <w:rPr>
                <w:rFonts w:asciiTheme="minorHAnsi" w:hAnsiTheme="minorHAnsi" w:cstheme="minorHAnsi"/>
              </w:rPr>
              <w:t xml:space="preserve"> is itself a product, covered by the Union harmonisation </w:t>
            </w:r>
            <w:r w:rsidRPr="004C2AF0">
              <w:rPr>
                <w:rFonts w:asciiTheme="minorHAnsi" w:hAnsiTheme="minorHAnsi" w:cstheme="minorHAnsi"/>
                <w:highlight w:val="cyan"/>
              </w:rPr>
              <w:t>law</w:t>
            </w:r>
            <w:r w:rsidRPr="004C2AF0">
              <w:rPr>
                <w:rFonts w:asciiTheme="minorHAnsi" w:hAnsiTheme="minorHAnsi" w:cstheme="minorHAnsi"/>
              </w:rPr>
              <w:t xml:space="preserve"> listed in Annex </w:t>
            </w:r>
            <w:proofErr w:type="gramStart"/>
            <w:r w:rsidRPr="004C2AF0">
              <w:rPr>
                <w:rFonts w:asciiTheme="minorHAnsi" w:hAnsiTheme="minorHAnsi" w:cstheme="minorHAnsi"/>
              </w:rPr>
              <w:t>II;</w:t>
            </w:r>
            <w:proofErr w:type="gramEnd"/>
          </w:p>
          <w:p w14:paraId="0F7CC496" w14:textId="77777777" w:rsidR="005265DC" w:rsidRPr="004C2AF0" w:rsidRDefault="005265DC" w:rsidP="006B4433">
            <w:pPr>
              <w:pStyle w:val="ListParagraph"/>
              <w:spacing w:after="0" w:line="240" w:lineRule="auto"/>
              <w:ind w:left="9"/>
              <w:rPr>
                <w:rFonts w:asciiTheme="minorHAnsi" w:hAnsiTheme="minorHAnsi" w:cstheme="minorHAnsi"/>
              </w:rPr>
            </w:pPr>
          </w:p>
          <w:p w14:paraId="408E67D0" w14:textId="77777777" w:rsidR="005265DC" w:rsidRPr="004C2AF0" w:rsidRDefault="005265DC">
            <w:pPr>
              <w:pStyle w:val="ListParagraph"/>
              <w:numPr>
                <w:ilvl w:val="0"/>
                <w:numId w:val="6"/>
              </w:numPr>
              <w:suppressAutoHyphens w:val="0"/>
              <w:autoSpaceDN/>
              <w:spacing w:after="0" w:line="240" w:lineRule="auto"/>
              <w:ind w:left="-56" w:firstLine="65"/>
              <w:contextualSpacing/>
              <w:textAlignment w:val="auto"/>
              <w:rPr>
                <w:rFonts w:asciiTheme="minorHAnsi" w:hAnsiTheme="minorHAnsi" w:cstheme="minorHAnsi"/>
              </w:rPr>
            </w:pPr>
            <w:r w:rsidRPr="004C2AF0">
              <w:rPr>
                <w:rFonts w:asciiTheme="minorHAnsi" w:hAnsiTheme="minorHAnsi" w:cstheme="minorHAnsi"/>
              </w:rPr>
              <w:t xml:space="preserve">the product whose safety component </w:t>
            </w:r>
            <w:r w:rsidRPr="004C2AF0">
              <w:rPr>
                <w:rFonts w:asciiTheme="minorHAnsi" w:hAnsiTheme="minorHAnsi" w:cstheme="minorHAnsi"/>
                <w:highlight w:val="cyan"/>
              </w:rPr>
              <w:t>pursuant to point (a)</w:t>
            </w:r>
            <w:r w:rsidRPr="004C2AF0">
              <w:rPr>
                <w:rFonts w:asciiTheme="minorHAnsi" w:hAnsiTheme="minorHAnsi" w:cstheme="minorHAnsi"/>
              </w:rPr>
              <w:t xml:space="preserve"> is the AI system, or the AI system itself as a product, is required to undergo a third-party conformity assessment </w:t>
            </w:r>
            <w:r w:rsidRPr="004C2AF0">
              <w:rPr>
                <w:rFonts w:asciiTheme="minorHAnsi" w:hAnsiTheme="minorHAnsi" w:cstheme="minorHAnsi"/>
                <w:highlight w:val="cyan"/>
              </w:rPr>
              <w:t>related to risks for health and safety,</w:t>
            </w:r>
            <w:r w:rsidRPr="004C2AF0">
              <w:rPr>
                <w:rFonts w:asciiTheme="minorHAnsi" w:hAnsiTheme="minorHAnsi" w:cstheme="minorHAnsi"/>
              </w:rPr>
              <w:t xml:space="preserve"> with a view to the placing on the market or putting into service of that product pursuant to the Union harmonisation </w:t>
            </w:r>
            <w:r w:rsidRPr="004C2AF0">
              <w:rPr>
                <w:rFonts w:asciiTheme="minorHAnsi" w:hAnsiTheme="minorHAnsi" w:cstheme="minorHAnsi"/>
                <w:highlight w:val="cyan"/>
              </w:rPr>
              <w:t>law</w:t>
            </w:r>
            <w:r w:rsidRPr="004C2AF0">
              <w:rPr>
                <w:rFonts w:asciiTheme="minorHAnsi" w:hAnsiTheme="minorHAnsi" w:cstheme="minorHAnsi"/>
              </w:rPr>
              <w:t xml:space="preserve"> listed in Annex </w:t>
            </w:r>
            <w:proofErr w:type="gramStart"/>
            <w:r w:rsidRPr="004C2AF0">
              <w:rPr>
                <w:rFonts w:asciiTheme="minorHAnsi" w:hAnsiTheme="minorHAnsi" w:cstheme="minorHAnsi"/>
              </w:rPr>
              <w:t>II;</w:t>
            </w:r>
            <w:proofErr w:type="gramEnd"/>
          </w:p>
          <w:p w14:paraId="32316EAE" w14:textId="77777777" w:rsidR="005265DC" w:rsidRPr="004C2AF0" w:rsidRDefault="005265DC" w:rsidP="006B4433">
            <w:pPr>
              <w:rPr>
                <w:rFonts w:cstheme="minorHAnsi"/>
              </w:rPr>
            </w:pPr>
          </w:p>
          <w:p w14:paraId="2D6FD411" w14:textId="77777777" w:rsidR="005265DC" w:rsidRPr="004C2AF0" w:rsidRDefault="005265DC" w:rsidP="006B4433">
            <w:pPr>
              <w:rPr>
                <w:rFonts w:cstheme="minorHAnsi"/>
                <w:highlight w:val="cyan"/>
              </w:rPr>
            </w:pPr>
            <w:r w:rsidRPr="004C2AF0">
              <w:rPr>
                <w:rFonts w:cstheme="minorHAnsi"/>
              </w:rPr>
              <w:t xml:space="preserve">2. In addition to the high-risk AI systems referred to in paragraph 1, AI systems </w:t>
            </w:r>
            <w:r w:rsidRPr="004C2AF0">
              <w:rPr>
                <w:rFonts w:cstheme="minorHAnsi"/>
                <w:highlight w:val="cyan"/>
              </w:rPr>
              <w:t>falling under one or more of the critical areas and use cases</w:t>
            </w:r>
            <w:r w:rsidRPr="004C2AF0">
              <w:rPr>
                <w:rFonts w:cstheme="minorHAnsi"/>
              </w:rPr>
              <w:t xml:space="preserve"> referred to in Annex III shall </w:t>
            </w:r>
            <w:r w:rsidRPr="004C2AF0">
              <w:rPr>
                <w:rFonts w:cstheme="minorHAnsi"/>
                <w:highlight w:val="cyan"/>
              </w:rPr>
              <w:t xml:space="preserve">be considered high-risk if they pose a significant risk of harm to the health, </w:t>
            </w:r>
            <w:proofErr w:type="gramStart"/>
            <w:r w:rsidRPr="004C2AF0">
              <w:rPr>
                <w:rFonts w:cstheme="minorHAnsi"/>
                <w:highlight w:val="cyan"/>
              </w:rPr>
              <w:t>safety</w:t>
            </w:r>
            <w:proofErr w:type="gramEnd"/>
            <w:r w:rsidRPr="004C2AF0">
              <w:rPr>
                <w:rFonts w:cstheme="minorHAnsi"/>
                <w:highlight w:val="cyan"/>
              </w:rPr>
              <w:t xml:space="preserve"> or fundamental rights of natural persons. Where an AI system falls under Annex III point 2, it shall</w:t>
            </w:r>
            <w:r w:rsidRPr="004C2AF0">
              <w:rPr>
                <w:rFonts w:cstheme="minorHAnsi"/>
              </w:rPr>
              <w:t xml:space="preserve"> </w:t>
            </w:r>
            <w:proofErr w:type="gramStart"/>
            <w:r w:rsidRPr="004C2AF0">
              <w:rPr>
                <w:rFonts w:cstheme="minorHAnsi"/>
              </w:rPr>
              <w:t>be considered to be</w:t>
            </w:r>
            <w:proofErr w:type="gramEnd"/>
            <w:r w:rsidRPr="004C2AF0">
              <w:rPr>
                <w:rFonts w:cstheme="minorHAnsi"/>
              </w:rPr>
              <w:t xml:space="preserve"> high-risk </w:t>
            </w:r>
            <w:r w:rsidRPr="004C2AF0">
              <w:rPr>
                <w:rFonts w:cstheme="minorHAnsi"/>
                <w:highlight w:val="cyan"/>
              </w:rPr>
              <w:t xml:space="preserve">if it poses a significant risk of harm </w:t>
            </w:r>
            <w:r w:rsidRPr="004C2AF0">
              <w:rPr>
                <w:rFonts w:cstheme="minorHAnsi"/>
                <w:highlight w:val="cyan"/>
              </w:rPr>
              <w:lastRenderedPageBreak/>
              <w:t>to the environment. The Commission shall, six months prior to the entry into force of this Regulation, after consulting the AI Office and relevant stakeholders, provide guidelines clearly specifying the circumstances where the output of AI systems referred to in Annex III would pose a significant risk of harm to the health, safety or fundamental rights of natural persons or cases in which it would not.</w:t>
            </w:r>
          </w:p>
          <w:p w14:paraId="36275543" w14:textId="77777777" w:rsidR="005265DC" w:rsidRPr="004C2AF0" w:rsidRDefault="005265DC" w:rsidP="006B4433">
            <w:pPr>
              <w:rPr>
                <w:rFonts w:cstheme="minorHAnsi"/>
                <w:highlight w:val="cyan"/>
              </w:rPr>
            </w:pPr>
          </w:p>
          <w:p w14:paraId="1DFEB0F3" w14:textId="77777777" w:rsidR="005265DC" w:rsidRPr="004C2AF0" w:rsidRDefault="005265DC" w:rsidP="006B4433">
            <w:pPr>
              <w:rPr>
                <w:rFonts w:cstheme="minorHAnsi"/>
                <w:highlight w:val="cyan"/>
              </w:rPr>
            </w:pPr>
            <w:r w:rsidRPr="004C2AF0">
              <w:rPr>
                <w:rFonts w:cstheme="minorHAnsi"/>
                <w:highlight w:val="cyan"/>
              </w:rPr>
              <w:t xml:space="preserve">2 a. Where providers falling under one or more of the critical areas and use cases referred to in Annex III consider that their AI system does not pose a significant risk as described in paragraph 2, they shall submit a reasoned notification to the national supervisory authority that they are not subject to the requirements of Title III Chapter 2 of this Regulation. Where the AI system is intended to be used in two or more Member States, that notification shall be addressed to the AI Office. Without prejudice to Article 65, the national supervisory authority shall review and reply to the notification, directly or via the </w:t>
            </w:r>
            <w:r w:rsidRPr="004C2AF0">
              <w:rPr>
                <w:rFonts w:cstheme="minorHAnsi"/>
                <w:highlight w:val="cyan"/>
              </w:rPr>
              <w:lastRenderedPageBreak/>
              <w:t>AI Office, within three months if they deem the AI system to be misclassified.</w:t>
            </w:r>
          </w:p>
          <w:p w14:paraId="4ED72A4D" w14:textId="77777777" w:rsidR="005265DC" w:rsidRPr="004C2AF0" w:rsidRDefault="005265DC" w:rsidP="006B4433">
            <w:pPr>
              <w:rPr>
                <w:rFonts w:cstheme="minorHAnsi"/>
                <w:highlight w:val="cyan"/>
              </w:rPr>
            </w:pPr>
          </w:p>
          <w:p w14:paraId="2F7EA583" w14:textId="77777777" w:rsidR="005265DC" w:rsidRPr="004C2AF0" w:rsidRDefault="005265DC" w:rsidP="006B4433">
            <w:pPr>
              <w:rPr>
                <w:rFonts w:cstheme="minorHAnsi"/>
                <w:highlight w:val="cyan"/>
              </w:rPr>
            </w:pPr>
            <w:r w:rsidRPr="004C2AF0">
              <w:rPr>
                <w:rFonts w:cstheme="minorHAnsi"/>
                <w:highlight w:val="cyan"/>
              </w:rPr>
              <w:t>2 b. Providers that misclassify their AI system as not subject to the requirements PE731.563v02-00 146/657 RR\1279290EN.docx EN of Title III Chapter 2 of this Regulation and place it on the market before the deadline for objection by national supervisory authorities shall be subject to fines pursuant to Article 71.</w:t>
            </w:r>
          </w:p>
          <w:p w14:paraId="28A06EC1" w14:textId="77777777" w:rsidR="005265DC" w:rsidRPr="004C2AF0" w:rsidRDefault="005265DC" w:rsidP="006B4433">
            <w:pPr>
              <w:rPr>
                <w:rFonts w:cstheme="minorHAnsi"/>
                <w:highlight w:val="cyan"/>
              </w:rPr>
            </w:pPr>
          </w:p>
          <w:p w14:paraId="2DC5A5A0" w14:textId="77777777" w:rsidR="005265DC" w:rsidRPr="004C2AF0" w:rsidRDefault="005265DC" w:rsidP="006B4433">
            <w:pPr>
              <w:rPr>
                <w:rFonts w:cstheme="minorHAnsi"/>
                <w:highlight w:val="magenta"/>
              </w:rPr>
            </w:pPr>
            <w:r w:rsidRPr="004C2AF0">
              <w:rPr>
                <w:rFonts w:cstheme="minorHAnsi"/>
                <w:highlight w:val="cyan"/>
              </w:rPr>
              <w:t xml:space="preserve">2 c. National supervisory authorities shall submit a yearly report to the AI Office detailing the number of notifications received, the related </w:t>
            </w:r>
            <w:proofErr w:type="spellStart"/>
            <w:r w:rsidRPr="004C2AF0">
              <w:rPr>
                <w:rFonts w:cstheme="minorHAnsi"/>
                <w:highlight w:val="cyan"/>
              </w:rPr>
              <w:t>highrisk</w:t>
            </w:r>
            <w:proofErr w:type="spellEnd"/>
            <w:r w:rsidRPr="004C2AF0">
              <w:rPr>
                <w:rFonts w:cstheme="minorHAnsi"/>
                <w:highlight w:val="cyan"/>
              </w:rPr>
              <w:t xml:space="preserve"> areas at stake and the decisions taken concerning received notifications</w:t>
            </w:r>
          </w:p>
        </w:tc>
        <w:tc>
          <w:tcPr>
            <w:tcW w:w="3479" w:type="dxa"/>
          </w:tcPr>
          <w:p w14:paraId="126FB7DB" w14:textId="77777777" w:rsidR="005265DC" w:rsidRPr="004C2AF0" w:rsidRDefault="005265DC" w:rsidP="006B4433">
            <w:pPr>
              <w:rPr>
                <w:rFonts w:cstheme="minorHAnsi"/>
                <w:highlight w:val="cyan"/>
              </w:rPr>
            </w:pPr>
            <w:r w:rsidRPr="004C2AF0">
              <w:rPr>
                <w:rFonts w:cstheme="minorHAnsi"/>
              </w:rPr>
              <w:lastRenderedPageBreak/>
              <w:t>1.</w:t>
            </w:r>
            <w:r w:rsidRPr="004C2AF0">
              <w:rPr>
                <w:rFonts w:cstheme="minorHAnsi"/>
                <w:highlight w:val="cyan"/>
              </w:rPr>
              <w:t xml:space="preserve">An AI system that is itself a product covered by the Union harmonisation legislation listed in Annex II shall be considered as high risk if it is required to undergo a third-party conformity assessment </w:t>
            </w:r>
            <w:r w:rsidRPr="004C2AF0">
              <w:rPr>
                <w:rFonts w:cstheme="minorHAnsi"/>
                <w:highlight w:val="cyan"/>
              </w:rPr>
              <w:lastRenderedPageBreak/>
              <w:t xml:space="preserve">with a view to the placing on the market or putting into service of that product pursuant to the </w:t>
            </w:r>
            <w:proofErr w:type="gramStart"/>
            <w:r w:rsidRPr="004C2AF0">
              <w:rPr>
                <w:rFonts w:cstheme="minorHAnsi"/>
                <w:highlight w:val="cyan"/>
              </w:rPr>
              <w:t>above mentioned</w:t>
            </w:r>
            <w:proofErr w:type="gramEnd"/>
            <w:r w:rsidRPr="004C2AF0">
              <w:rPr>
                <w:rFonts w:cstheme="minorHAnsi"/>
                <w:highlight w:val="cyan"/>
              </w:rPr>
              <w:t xml:space="preserve"> legislation.</w:t>
            </w:r>
          </w:p>
          <w:p w14:paraId="62ED0008" w14:textId="77777777" w:rsidR="005265DC" w:rsidRPr="004C2AF0" w:rsidRDefault="005265DC" w:rsidP="006B4433">
            <w:pPr>
              <w:rPr>
                <w:rFonts w:cstheme="minorHAnsi"/>
                <w:highlight w:val="cyan"/>
              </w:rPr>
            </w:pPr>
          </w:p>
          <w:p w14:paraId="39272AF1" w14:textId="77777777" w:rsidR="005265DC" w:rsidRPr="004C2AF0" w:rsidRDefault="005265DC" w:rsidP="006B4433">
            <w:pPr>
              <w:rPr>
                <w:rFonts w:cstheme="minorHAnsi"/>
                <w:highlight w:val="cyan"/>
              </w:rPr>
            </w:pPr>
            <w:r w:rsidRPr="004C2AF0">
              <w:rPr>
                <w:rFonts w:cstheme="minorHAnsi"/>
                <w:highlight w:val="cyan"/>
              </w:rPr>
              <w:t xml:space="preserve">2. An AI system intended to be used as a safety component of a product covered by the legislation referred to in paragraph 1 shall be considered as high risk if it is required to undergo a third-party conformity assessment with a view to the placing on the market or putting into service of that product pursuant to above mentioned legislation. This provision shall apply irrespective of whether the AI system is placed on the market or put into service independently from the product. </w:t>
            </w:r>
          </w:p>
          <w:p w14:paraId="2EA738F1" w14:textId="77777777" w:rsidR="005265DC" w:rsidRPr="004C2AF0" w:rsidRDefault="005265DC" w:rsidP="006B4433">
            <w:pPr>
              <w:rPr>
                <w:rFonts w:cstheme="minorHAnsi"/>
                <w:highlight w:val="cyan"/>
              </w:rPr>
            </w:pPr>
          </w:p>
          <w:p w14:paraId="604043C6" w14:textId="77777777" w:rsidR="005265DC" w:rsidRPr="004C2AF0" w:rsidRDefault="005265DC" w:rsidP="006B4433">
            <w:pPr>
              <w:rPr>
                <w:rFonts w:eastAsia="Calibri" w:cstheme="minorHAnsi"/>
              </w:rPr>
            </w:pPr>
            <w:r w:rsidRPr="004C2AF0">
              <w:rPr>
                <w:rFonts w:cstheme="minorHAnsi"/>
                <w:highlight w:val="cyan"/>
              </w:rPr>
              <w:t xml:space="preserve">3. AI systems referred to in Annex III shall be considered high-risk unless the output of the system is purely accessory in respect of the relevant action or decision to be taken and is not therefore likely to lead to a significant risk to the health, </w:t>
            </w:r>
            <w:proofErr w:type="gramStart"/>
            <w:r w:rsidRPr="004C2AF0">
              <w:rPr>
                <w:rFonts w:cstheme="minorHAnsi"/>
                <w:highlight w:val="cyan"/>
              </w:rPr>
              <w:t>safety</w:t>
            </w:r>
            <w:proofErr w:type="gramEnd"/>
            <w:r w:rsidRPr="004C2AF0">
              <w:rPr>
                <w:rFonts w:cstheme="minorHAnsi"/>
                <w:highlight w:val="cyan"/>
              </w:rPr>
              <w:t xml:space="preserve"> or fundamental rights. </w:t>
            </w:r>
            <w:proofErr w:type="gramStart"/>
            <w:r w:rsidRPr="004C2AF0">
              <w:rPr>
                <w:rFonts w:cstheme="minorHAnsi"/>
                <w:highlight w:val="cyan"/>
              </w:rPr>
              <w:t>In order to</w:t>
            </w:r>
            <w:proofErr w:type="gramEnd"/>
            <w:r w:rsidRPr="004C2AF0">
              <w:rPr>
                <w:rFonts w:cstheme="minorHAnsi"/>
                <w:highlight w:val="cyan"/>
              </w:rPr>
              <w:t xml:space="preserve"> ensure uniform conditions for the implementation of this Regulation, the Commission shall, no later than </w:t>
            </w:r>
            <w:r w:rsidRPr="004C2AF0">
              <w:rPr>
                <w:rFonts w:cstheme="minorHAnsi"/>
                <w:highlight w:val="cyan"/>
              </w:rPr>
              <w:lastRenderedPageBreak/>
              <w:t>one year after the entry into force of this Regulation, adopt implementing acts to specify the circumstances where the output of AI systems referred to in Annex III would be purely accessory in respect of the relevant action or decision to be taken. Those implementing acts shall be adopted in accordance with the examination procedure referred to in Article 74, paragraph 2.</w:t>
            </w:r>
          </w:p>
        </w:tc>
        <w:tc>
          <w:tcPr>
            <w:tcW w:w="4266" w:type="dxa"/>
            <w:gridSpan w:val="2"/>
          </w:tcPr>
          <w:p w14:paraId="1C74F50C" w14:textId="77777777" w:rsidR="005265DC" w:rsidRPr="004C2AF0" w:rsidRDefault="005265DC" w:rsidP="006B4433">
            <w:pPr>
              <w:rPr>
                <w:rFonts w:cstheme="minorHAnsi"/>
              </w:rPr>
            </w:pPr>
            <w:r w:rsidRPr="004C2AF0">
              <w:rPr>
                <w:rFonts w:cstheme="minorHAnsi"/>
              </w:rPr>
              <w:lastRenderedPageBreak/>
              <w:t>KEY CHANGES:</w:t>
            </w:r>
          </w:p>
          <w:p w14:paraId="4DE99956" w14:textId="77777777" w:rsidR="005265DC" w:rsidRPr="004C2AF0" w:rsidRDefault="005265DC">
            <w:pPr>
              <w:pStyle w:val="ListParagraph"/>
              <w:numPr>
                <w:ilvl w:val="0"/>
                <w:numId w:val="7"/>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The Council introduced an "extra criterium" to determine whether an AI system is high risk based on the significance of the AI system's output in the decision-</w:t>
            </w:r>
            <w:r w:rsidRPr="004C2AF0">
              <w:rPr>
                <w:rFonts w:asciiTheme="minorHAnsi" w:hAnsiTheme="minorHAnsi" w:cstheme="minorHAnsi"/>
              </w:rPr>
              <w:lastRenderedPageBreak/>
              <w:t xml:space="preserve">making process, </w:t>
            </w:r>
            <w:proofErr w:type="gramStart"/>
            <w:r w:rsidRPr="004C2AF0">
              <w:rPr>
                <w:rFonts w:asciiTheme="minorHAnsi" w:hAnsiTheme="minorHAnsi" w:cstheme="minorHAnsi"/>
              </w:rPr>
              <w:t>in order to</w:t>
            </w:r>
            <w:proofErr w:type="gramEnd"/>
            <w:r w:rsidRPr="004C2AF0">
              <w:rPr>
                <w:rFonts w:asciiTheme="minorHAnsi" w:hAnsiTheme="minorHAnsi" w:cstheme="minorHAnsi"/>
              </w:rPr>
              <w:t xml:space="preserve"> exclude purely accessory outputs. </w:t>
            </w:r>
          </w:p>
          <w:p w14:paraId="15AC5921" w14:textId="77777777" w:rsidR="005265DC" w:rsidRPr="004C2AF0" w:rsidRDefault="005265DC" w:rsidP="006B4433">
            <w:pPr>
              <w:ind w:hanging="17"/>
              <w:rPr>
                <w:rFonts w:cstheme="minorHAnsi"/>
              </w:rPr>
            </w:pPr>
          </w:p>
          <w:p w14:paraId="0FE3F526" w14:textId="77777777" w:rsidR="005265DC" w:rsidRPr="004C2AF0" w:rsidRDefault="005265DC">
            <w:pPr>
              <w:pStyle w:val="ListParagraph"/>
              <w:numPr>
                <w:ilvl w:val="0"/>
                <w:numId w:val="7"/>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The EP proposed a self-assessment system where AI developers determine if their application is high risk using guidance from the EU Commission. If a company believes their system is not high risk, they must inform the relevant authority, which has three months to respond if they disagree with the classification.</w:t>
            </w:r>
          </w:p>
          <w:p w14:paraId="37406216" w14:textId="77777777" w:rsidR="005265DC" w:rsidRPr="004C2AF0" w:rsidRDefault="005265DC" w:rsidP="006B4433">
            <w:pPr>
              <w:pStyle w:val="ListParagraph"/>
              <w:ind w:left="0"/>
              <w:rPr>
                <w:rFonts w:asciiTheme="minorHAnsi" w:hAnsiTheme="minorHAnsi" w:cstheme="minorHAnsi"/>
              </w:rPr>
            </w:pPr>
          </w:p>
          <w:p w14:paraId="3BFFB112" w14:textId="77777777" w:rsidR="005265DC" w:rsidRPr="004C2AF0" w:rsidRDefault="005265DC" w:rsidP="006B4433">
            <w:pPr>
              <w:rPr>
                <w:rFonts w:cstheme="minorHAnsi"/>
                <w:b/>
                <w:bCs/>
              </w:rPr>
            </w:pPr>
            <w:r w:rsidRPr="004C2AF0">
              <w:rPr>
                <w:rFonts w:cstheme="minorHAnsi"/>
                <w:b/>
                <w:bCs/>
              </w:rPr>
              <w:t>FEDMA’S RECOMMENDATION:</w:t>
            </w:r>
          </w:p>
          <w:p w14:paraId="5B38D987" w14:textId="77777777" w:rsidR="005265DC" w:rsidRPr="004C2AF0" w:rsidRDefault="005265DC" w:rsidP="006B4433">
            <w:pPr>
              <w:rPr>
                <w:rFonts w:cstheme="minorHAnsi"/>
              </w:rPr>
            </w:pPr>
            <w:r w:rsidRPr="004C2AF0">
              <w:rPr>
                <w:rFonts w:cstheme="minorHAnsi"/>
              </w:rPr>
              <w:t>Refraining from categorizing AI systems used in data-driven marketing as high-risk: currently only AI systems used for advertising job vacancies are included in the list by all EU institutions.</w:t>
            </w:r>
          </w:p>
          <w:p w14:paraId="2EFDEFA7" w14:textId="77777777" w:rsidR="005265DC" w:rsidRPr="004C2AF0" w:rsidRDefault="005265DC" w:rsidP="006B4433">
            <w:pPr>
              <w:rPr>
                <w:rFonts w:cstheme="minorHAnsi"/>
              </w:rPr>
            </w:pPr>
          </w:p>
          <w:p w14:paraId="5EDFAAD0" w14:textId="77777777" w:rsidR="005265DC" w:rsidRPr="004C2AF0" w:rsidRDefault="005265DC" w:rsidP="006B4433">
            <w:pPr>
              <w:spacing w:line="259" w:lineRule="auto"/>
              <w:rPr>
                <w:rFonts w:cstheme="minorHAnsi"/>
                <w:b/>
                <w:bCs/>
              </w:rPr>
            </w:pPr>
            <w:r w:rsidRPr="004C2AF0">
              <w:rPr>
                <w:rFonts w:cstheme="minorHAnsi"/>
                <w:b/>
                <w:bCs/>
              </w:rPr>
              <w:t>WHICH TEXT DO YOU SUPPORT?</w:t>
            </w:r>
          </w:p>
          <w:p w14:paraId="45A8E2E6"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Commission</w:t>
            </w:r>
          </w:p>
          <w:p w14:paraId="7B157CA0"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Parliament</w:t>
            </w:r>
          </w:p>
          <w:p w14:paraId="025AF59F"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Council of the EU</w:t>
            </w:r>
          </w:p>
          <w:p w14:paraId="768D9306" w14:textId="77777777" w:rsidR="005265DC" w:rsidRPr="004C2AF0" w:rsidRDefault="005265DC" w:rsidP="006B4433">
            <w:pPr>
              <w:pStyle w:val="ListParagraph"/>
              <w:spacing w:after="0" w:line="240" w:lineRule="auto"/>
              <w:ind w:left="0"/>
              <w:rPr>
                <w:rFonts w:asciiTheme="minorHAnsi" w:hAnsiTheme="minorHAnsi" w:cstheme="minorHAnsi"/>
              </w:rPr>
            </w:pPr>
          </w:p>
        </w:tc>
      </w:tr>
      <w:tr w:rsidR="005265DC" w:rsidRPr="004C2AF0" w14:paraId="21019EF6" w14:textId="77777777" w:rsidTr="001B49BB">
        <w:trPr>
          <w:trHeight w:val="300"/>
        </w:trPr>
        <w:tc>
          <w:tcPr>
            <w:tcW w:w="15882" w:type="dxa"/>
            <w:gridSpan w:val="7"/>
            <w:shd w:val="clear" w:color="auto" w:fill="00B0F0"/>
          </w:tcPr>
          <w:p w14:paraId="46A8351A" w14:textId="77777777" w:rsidR="005265DC" w:rsidRPr="001B49BB" w:rsidRDefault="005265DC" w:rsidP="006B4433">
            <w:pPr>
              <w:jc w:val="center"/>
              <w:rPr>
                <w:rFonts w:cstheme="minorHAnsi"/>
                <w:b/>
                <w:bCs/>
                <w:color w:val="FFFFFF" w:themeColor="background1"/>
              </w:rPr>
            </w:pPr>
            <w:bookmarkStart w:id="4" w:name="foundation"/>
            <w:r w:rsidRPr="001B49BB">
              <w:rPr>
                <w:rFonts w:cstheme="minorHAnsi"/>
                <w:b/>
                <w:bCs/>
                <w:color w:val="FFFFFF" w:themeColor="background1"/>
              </w:rPr>
              <w:lastRenderedPageBreak/>
              <w:t>ARTICLE 28(b) new</w:t>
            </w:r>
          </w:p>
          <w:p w14:paraId="3E0A0228" w14:textId="77777777" w:rsidR="005265DC" w:rsidRPr="001B49BB" w:rsidRDefault="005265DC" w:rsidP="006B4433">
            <w:pPr>
              <w:jc w:val="center"/>
              <w:rPr>
                <w:rFonts w:cstheme="minorHAnsi"/>
                <w:b/>
                <w:bCs/>
                <w:color w:val="FFFFFF" w:themeColor="background1"/>
              </w:rPr>
            </w:pPr>
            <w:r w:rsidRPr="001B49BB">
              <w:rPr>
                <w:rFonts w:cstheme="minorHAnsi"/>
                <w:b/>
                <w:bCs/>
                <w:highlight w:val="cyan"/>
              </w:rPr>
              <w:t>Obligations of the provider of a foundation model</w:t>
            </w:r>
            <w:bookmarkEnd w:id="4"/>
          </w:p>
        </w:tc>
      </w:tr>
      <w:tr w:rsidR="005265DC" w:rsidRPr="004C2AF0" w14:paraId="4808EB6E" w14:textId="77777777" w:rsidTr="001B49BB">
        <w:trPr>
          <w:trHeight w:val="300"/>
        </w:trPr>
        <w:tc>
          <w:tcPr>
            <w:tcW w:w="4658" w:type="dxa"/>
            <w:gridSpan w:val="2"/>
          </w:tcPr>
          <w:p w14:paraId="563C0275" w14:textId="77777777" w:rsidR="005265DC" w:rsidRPr="004C2AF0" w:rsidRDefault="005265DC" w:rsidP="006B4433">
            <w:pPr>
              <w:rPr>
                <w:rFonts w:cstheme="minorHAnsi"/>
              </w:rPr>
            </w:pPr>
          </w:p>
        </w:tc>
        <w:tc>
          <w:tcPr>
            <w:tcW w:w="3479" w:type="dxa"/>
            <w:gridSpan w:val="2"/>
          </w:tcPr>
          <w:p w14:paraId="57371A18" w14:textId="77777777" w:rsidR="005265DC" w:rsidRPr="004C2AF0" w:rsidRDefault="005265DC" w:rsidP="006B4433">
            <w:pPr>
              <w:rPr>
                <w:rFonts w:cstheme="minorHAnsi"/>
                <w:highlight w:val="cyan"/>
              </w:rPr>
            </w:pPr>
            <w:r w:rsidRPr="004C2AF0">
              <w:rPr>
                <w:rFonts w:cstheme="minorHAnsi"/>
                <w:highlight w:val="cyan"/>
              </w:rPr>
              <w:t xml:space="preserve">1. A provider of a foundation model shall, prior to making it available on the market or putting it into service, ensure that it is compliant with the requirements set out in this Article, regardless of whether it is provided as a standalone model or embedded in an AI system or a </w:t>
            </w:r>
            <w:r w:rsidRPr="004C2AF0">
              <w:rPr>
                <w:rFonts w:cstheme="minorHAnsi"/>
                <w:highlight w:val="cyan"/>
              </w:rPr>
              <w:lastRenderedPageBreak/>
              <w:t xml:space="preserve">product, or provided under free and </w:t>
            </w:r>
            <w:proofErr w:type="gramStart"/>
            <w:r w:rsidRPr="004C2AF0">
              <w:rPr>
                <w:rFonts w:cstheme="minorHAnsi"/>
                <w:highlight w:val="cyan"/>
              </w:rPr>
              <w:t>open source</w:t>
            </w:r>
            <w:proofErr w:type="gramEnd"/>
            <w:r w:rsidRPr="004C2AF0">
              <w:rPr>
                <w:rFonts w:cstheme="minorHAnsi"/>
                <w:highlight w:val="cyan"/>
              </w:rPr>
              <w:t xml:space="preserve"> licences, as a service, as well as other distribution channels.</w:t>
            </w:r>
          </w:p>
          <w:p w14:paraId="77F0F184" w14:textId="77777777" w:rsidR="005265DC" w:rsidRPr="004C2AF0" w:rsidRDefault="005265DC" w:rsidP="006B4433">
            <w:pPr>
              <w:rPr>
                <w:rFonts w:cstheme="minorHAnsi"/>
                <w:highlight w:val="cyan"/>
              </w:rPr>
            </w:pPr>
          </w:p>
          <w:p w14:paraId="716E5D3F" w14:textId="77777777" w:rsidR="005265DC" w:rsidRPr="004C2AF0" w:rsidRDefault="005265DC" w:rsidP="006B4433">
            <w:pPr>
              <w:rPr>
                <w:rFonts w:cstheme="minorHAnsi"/>
                <w:highlight w:val="cyan"/>
              </w:rPr>
            </w:pPr>
            <w:r w:rsidRPr="004C2AF0">
              <w:rPr>
                <w:rFonts w:cstheme="minorHAnsi"/>
                <w:highlight w:val="cyan"/>
              </w:rPr>
              <w:t xml:space="preserve">2. </w:t>
            </w:r>
            <w:proofErr w:type="gramStart"/>
            <w:r w:rsidRPr="004C2AF0">
              <w:rPr>
                <w:rFonts w:cstheme="minorHAnsi"/>
                <w:highlight w:val="cyan"/>
              </w:rPr>
              <w:t>For the purpose of</w:t>
            </w:r>
            <w:proofErr w:type="gramEnd"/>
            <w:r w:rsidRPr="004C2AF0">
              <w:rPr>
                <w:rFonts w:cstheme="minorHAnsi"/>
                <w:highlight w:val="cyan"/>
              </w:rPr>
              <w:t xml:space="preserve"> paragraph 1, the provider of a foundation model shall: </w:t>
            </w:r>
          </w:p>
          <w:p w14:paraId="31FC2350" w14:textId="77777777" w:rsidR="005265DC" w:rsidRPr="004C2AF0" w:rsidRDefault="005265DC" w:rsidP="006B4433">
            <w:pPr>
              <w:rPr>
                <w:rFonts w:cstheme="minorHAnsi"/>
                <w:highlight w:val="cyan"/>
              </w:rPr>
            </w:pPr>
            <w:r w:rsidRPr="004C2AF0">
              <w:rPr>
                <w:rFonts w:cstheme="minorHAnsi"/>
                <w:highlight w:val="cyan"/>
              </w:rPr>
              <w:t xml:space="preserve">(a) demonstrate through appropriate design, testing and analysis that the identification, the </w:t>
            </w:r>
            <w:proofErr w:type="gramStart"/>
            <w:r w:rsidRPr="004C2AF0">
              <w:rPr>
                <w:rFonts w:cstheme="minorHAnsi"/>
                <w:highlight w:val="cyan"/>
              </w:rPr>
              <w:t>reduction</w:t>
            </w:r>
            <w:proofErr w:type="gramEnd"/>
            <w:r w:rsidRPr="004C2AF0">
              <w:rPr>
                <w:rFonts w:cstheme="minorHAnsi"/>
                <w:highlight w:val="cyan"/>
              </w:rPr>
              <w:t xml:space="preserve"> and mitigation of reasonably foreseeable risks to health, safety, fundamental rights, the environment and democracy and the rule of law prior and throughout development with appropriate methods such as with the involvement of independent experts, as well as the documentation of remaining non-mitigable risks after development</w:t>
            </w:r>
          </w:p>
          <w:p w14:paraId="30E37D6B" w14:textId="77777777" w:rsidR="005265DC" w:rsidRPr="004C2AF0" w:rsidRDefault="005265DC" w:rsidP="006B4433">
            <w:pPr>
              <w:rPr>
                <w:rFonts w:cstheme="minorHAnsi"/>
                <w:highlight w:val="cyan"/>
              </w:rPr>
            </w:pPr>
          </w:p>
          <w:p w14:paraId="224F450B" w14:textId="77777777" w:rsidR="005265DC" w:rsidRPr="004C2AF0" w:rsidRDefault="005265DC" w:rsidP="006B4433">
            <w:pPr>
              <w:rPr>
                <w:rFonts w:cstheme="minorHAnsi"/>
                <w:highlight w:val="cyan"/>
              </w:rPr>
            </w:pPr>
            <w:r w:rsidRPr="004C2AF0">
              <w:rPr>
                <w:rFonts w:cstheme="minorHAnsi"/>
                <w:highlight w:val="cyan"/>
              </w:rPr>
              <w:t xml:space="preserve">(b) process and incorporate only datasets that are subject to appropriate data governance measures for foundation models, in particular measures to examine the suitability of the data sources and possible biases and appropriate mitigation PE731.563v02 -00 206 /657 RR\1279290EN.docx EN </w:t>
            </w:r>
          </w:p>
          <w:p w14:paraId="5618824C" w14:textId="77777777" w:rsidR="005265DC" w:rsidRPr="004C2AF0" w:rsidRDefault="005265DC" w:rsidP="006B4433">
            <w:pPr>
              <w:rPr>
                <w:rFonts w:cstheme="minorHAnsi"/>
                <w:highlight w:val="cyan"/>
              </w:rPr>
            </w:pPr>
          </w:p>
          <w:p w14:paraId="054B8C82" w14:textId="77777777" w:rsidR="005265DC" w:rsidRPr="004C2AF0" w:rsidRDefault="005265DC" w:rsidP="006B4433">
            <w:pPr>
              <w:rPr>
                <w:rFonts w:cstheme="minorHAnsi"/>
                <w:highlight w:val="cyan"/>
              </w:rPr>
            </w:pPr>
            <w:r w:rsidRPr="004C2AF0">
              <w:rPr>
                <w:rFonts w:cstheme="minorHAnsi"/>
                <w:highlight w:val="cyan"/>
              </w:rPr>
              <w:t xml:space="preserve">(c) design and develop the foundation model in order to achieve throughout its lifecycle appropriate levels of performance, predictability, interpretability, corrigibility, safety and cybersecurity assessed through appropriate methods such as model evaluation with the involvement of independent experts, documented analysis, and extensive testing during conceptualisation, design, and </w:t>
            </w:r>
            <w:proofErr w:type="gramStart"/>
            <w:r w:rsidRPr="004C2AF0">
              <w:rPr>
                <w:rFonts w:cstheme="minorHAnsi"/>
                <w:highlight w:val="cyan"/>
              </w:rPr>
              <w:t>development;</w:t>
            </w:r>
            <w:proofErr w:type="gramEnd"/>
            <w:r w:rsidRPr="004C2AF0">
              <w:rPr>
                <w:rFonts w:cstheme="minorHAnsi"/>
                <w:highlight w:val="cyan"/>
              </w:rPr>
              <w:t xml:space="preserve"> </w:t>
            </w:r>
          </w:p>
          <w:p w14:paraId="3E5A041C" w14:textId="77777777" w:rsidR="005265DC" w:rsidRPr="004C2AF0" w:rsidRDefault="005265DC" w:rsidP="006B4433">
            <w:pPr>
              <w:rPr>
                <w:rFonts w:cstheme="minorHAnsi"/>
                <w:highlight w:val="cyan"/>
              </w:rPr>
            </w:pPr>
          </w:p>
          <w:p w14:paraId="1E5C7872" w14:textId="77777777" w:rsidR="005265DC" w:rsidRPr="004C2AF0" w:rsidRDefault="005265DC" w:rsidP="006B4433">
            <w:pPr>
              <w:rPr>
                <w:rFonts w:cstheme="minorHAnsi"/>
                <w:highlight w:val="cyan"/>
              </w:rPr>
            </w:pPr>
            <w:r w:rsidRPr="004C2AF0">
              <w:rPr>
                <w:rFonts w:cstheme="minorHAnsi"/>
                <w:highlight w:val="cyan"/>
              </w:rPr>
              <w:t xml:space="preserve">(d) design and develop the foundation model, making use of applicable standards to reduce energy use, resource use and waste, as well as to increase energy efficiency, and the overall efficiency of the system, </w:t>
            </w:r>
            <w:proofErr w:type="spellStart"/>
            <w:r w:rsidRPr="004C2AF0">
              <w:rPr>
                <w:rFonts w:cstheme="minorHAnsi"/>
                <w:highlight w:val="cyan"/>
              </w:rPr>
              <w:t>whithout</w:t>
            </w:r>
            <w:proofErr w:type="spellEnd"/>
            <w:r w:rsidRPr="004C2AF0">
              <w:rPr>
                <w:rFonts w:cstheme="minorHAnsi"/>
                <w:highlight w:val="cyan"/>
              </w:rPr>
              <w:t xml:space="preserve"> prejudice to relevant existing Union and national law. This obligation shall not apply before the standards referred to in Article 40 are published. Foundation models shall be designed with capabilities enabling the measurement and logging of the consumption of energy and resources, and, where technically feasible, other environmental </w:t>
            </w:r>
            <w:r w:rsidRPr="004C2AF0">
              <w:rPr>
                <w:rFonts w:cstheme="minorHAnsi"/>
                <w:highlight w:val="cyan"/>
              </w:rPr>
              <w:lastRenderedPageBreak/>
              <w:t xml:space="preserve">impact the deployment and use of the systems may have over their entire </w:t>
            </w:r>
            <w:proofErr w:type="gramStart"/>
            <w:r w:rsidRPr="004C2AF0">
              <w:rPr>
                <w:rFonts w:cstheme="minorHAnsi"/>
                <w:highlight w:val="cyan"/>
              </w:rPr>
              <w:t>lifecycle;</w:t>
            </w:r>
            <w:proofErr w:type="gramEnd"/>
            <w:r w:rsidRPr="004C2AF0">
              <w:rPr>
                <w:rFonts w:cstheme="minorHAnsi"/>
                <w:highlight w:val="cyan"/>
              </w:rPr>
              <w:t xml:space="preserve"> </w:t>
            </w:r>
          </w:p>
          <w:p w14:paraId="5C8571D2" w14:textId="77777777" w:rsidR="005265DC" w:rsidRPr="004C2AF0" w:rsidRDefault="005265DC" w:rsidP="006B4433">
            <w:pPr>
              <w:rPr>
                <w:rFonts w:cstheme="minorHAnsi"/>
                <w:highlight w:val="cyan"/>
              </w:rPr>
            </w:pPr>
          </w:p>
          <w:p w14:paraId="066C7F47" w14:textId="77777777" w:rsidR="005265DC" w:rsidRPr="004C2AF0" w:rsidRDefault="005265DC" w:rsidP="006B4433">
            <w:pPr>
              <w:rPr>
                <w:rFonts w:cstheme="minorHAnsi"/>
                <w:highlight w:val="cyan"/>
              </w:rPr>
            </w:pPr>
            <w:r w:rsidRPr="004C2AF0">
              <w:rPr>
                <w:rFonts w:cstheme="minorHAnsi"/>
                <w:highlight w:val="cyan"/>
              </w:rPr>
              <w:t>(e) draw up extensive technical documentation and intelligible instructions for use, in order to enable the downstream providers to comply with their obligations pursuant to Articles 16 and 28(1)</w:t>
            </w:r>
            <w:proofErr w:type="gramStart"/>
            <w:r w:rsidRPr="004C2AF0">
              <w:rPr>
                <w:rFonts w:cstheme="minorHAnsi"/>
                <w:highlight w:val="cyan"/>
              </w:rPr>
              <w:t>; .</w:t>
            </w:r>
            <w:proofErr w:type="gramEnd"/>
            <w:r w:rsidRPr="004C2AF0">
              <w:rPr>
                <w:rFonts w:cstheme="minorHAnsi"/>
                <w:highlight w:val="cyan"/>
              </w:rPr>
              <w:t xml:space="preserve"> </w:t>
            </w:r>
          </w:p>
          <w:p w14:paraId="0B5B6F2F" w14:textId="77777777" w:rsidR="005265DC" w:rsidRPr="004C2AF0" w:rsidRDefault="005265DC" w:rsidP="006B4433">
            <w:pPr>
              <w:rPr>
                <w:rFonts w:cstheme="minorHAnsi"/>
                <w:highlight w:val="cyan"/>
              </w:rPr>
            </w:pPr>
          </w:p>
          <w:p w14:paraId="4DC50DE1" w14:textId="77777777" w:rsidR="005265DC" w:rsidRPr="004C2AF0" w:rsidRDefault="005265DC" w:rsidP="006B4433">
            <w:pPr>
              <w:rPr>
                <w:rFonts w:cstheme="minorHAnsi"/>
                <w:highlight w:val="cyan"/>
              </w:rPr>
            </w:pPr>
            <w:r w:rsidRPr="004C2AF0">
              <w:rPr>
                <w:rFonts w:cstheme="minorHAnsi"/>
                <w:highlight w:val="cyan"/>
              </w:rPr>
              <w:t xml:space="preserve">(f) establish a quality management system to ensure and document compliance with this Article, with the possibility to experiment in fulfilling this requirement, </w:t>
            </w:r>
          </w:p>
          <w:p w14:paraId="1BB2463C" w14:textId="77777777" w:rsidR="005265DC" w:rsidRPr="004C2AF0" w:rsidRDefault="005265DC" w:rsidP="006B4433">
            <w:pPr>
              <w:rPr>
                <w:rFonts w:cstheme="minorHAnsi"/>
                <w:highlight w:val="cyan"/>
              </w:rPr>
            </w:pPr>
          </w:p>
          <w:p w14:paraId="213D28F1" w14:textId="77777777" w:rsidR="005265DC" w:rsidRPr="004C2AF0" w:rsidRDefault="005265DC" w:rsidP="006B4433">
            <w:pPr>
              <w:rPr>
                <w:rFonts w:cstheme="minorHAnsi"/>
                <w:highlight w:val="cyan"/>
              </w:rPr>
            </w:pPr>
            <w:r w:rsidRPr="004C2AF0">
              <w:rPr>
                <w:rFonts w:cstheme="minorHAnsi"/>
                <w:highlight w:val="cyan"/>
              </w:rPr>
              <w:t xml:space="preserve">(g) register that foundation model in the EU database referred to in Article 60, in accordance with the instructions outlined in Annex VIII point C. </w:t>
            </w:r>
          </w:p>
          <w:p w14:paraId="4258616B" w14:textId="77777777" w:rsidR="005265DC" w:rsidRPr="004C2AF0" w:rsidRDefault="005265DC" w:rsidP="006B4433">
            <w:pPr>
              <w:rPr>
                <w:rFonts w:cstheme="minorHAnsi"/>
                <w:highlight w:val="cyan"/>
              </w:rPr>
            </w:pPr>
          </w:p>
          <w:p w14:paraId="539E24BB" w14:textId="77777777" w:rsidR="005265DC" w:rsidRPr="004C2AF0" w:rsidRDefault="005265DC" w:rsidP="006B4433">
            <w:pPr>
              <w:rPr>
                <w:rFonts w:cstheme="minorHAnsi"/>
                <w:highlight w:val="cyan"/>
              </w:rPr>
            </w:pPr>
            <w:r w:rsidRPr="004C2AF0">
              <w:rPr>
                <w:rFonts w:cstheme="minorHAnsi"/>
                <w:highlight w:val="cyan"/>
              </w:rPr>
              <w:t xml:space="preserve">When fulfilling those requirements, the generally acknowledged state of the art shall be taken into account, including as reflected in relevant harmonised standards or common specifications, as well as the latest assessment and measurement methods, reflected in particular in benchmarking guidance and </w:t>
            </w:r>
            <w:r w:rsidRPr="004C2AF0">
              <w:rPr>
                <w:rFonts w:cstheme="minorHAnsi"/>
                <w:highlight w:val="cyan"/>
              </w:rPr>
              <w:lastRenderedPageBreak/>
              <w:t xml:space="preserve">capabilities referred to in Article 58a; 3. Providers of foundation models shall, for a period ending 10 years after their foundation models have been placed on the market or put into service, keep the technical documentation referred to in paragraph 2(e) at the disposal of the national competent authorities </w:t>
            </w:r>
          </w:p>
          <w:p w14:paraId="74F3F21F" w14:textId="77777777" w:rsidR="005265DC" w:rsidRPr="004C2AF0" w:rsidRDefault="005265DC" w:rsidP="006B4433">
            <w:pPr>
              <w:rPr>
                <w:rFonts w:cstheme="minorHAnsi"/>
                <w:highlight w:val="cyan"/>
              </w:rPr>
            </w:pPr>
          </w:p>
          <w:p w14:paraId="4D9C8772" w14:textId="77777777" w:rsidR="005265DC" w:rsidRPr="004C2AF0" w:rsidRDefault="005265DC" w:rsidP="006B4433">
            <w:pPr>
              <w:rPr>
                <w:rFonts w:cstheme="minorHAnsi"/>
                <w:highlight w:val="cyan"/>
              </w:rPr>
            </w:pPr>
            <w:r w:rsidRPr="004C2AF0">
              <w:rPr>
                <w:rFonts w:cstheme="minorHAnsi"/>
                <w:highlight w:val="cyan"/>
              </w:rPr>
              <w:t xml:space="preserve">4. Providers of foundation models used in AI systems specifically intended to generate, with varying levels of autonomy, content such as complex text, images, audio, or video (“generative AI”) and providers who specialise a foundation model into a generative AI system, shall in addition </w:t>
            </w:r>
          </w:p>
          <w:p w14:paraId="090507BE" w14:textId="77777777" w:rsidR="005265DC" w:rsidRPr="004C2AF0" w:rsidRDefault="005265DC" w:rsidP="006B4433">
            <w:pPr>
              <w:rPr>
                <w:rFonts w:cstheme="minorHAnsi"/>
                <w:highlight w:val="cyan"/>
              </w:rPr>
            </w:pPr>
          </w:p>
          <w:p w14:paraId="2106CA02" w14:textId="77777777" w:rsidR="005265DC" w:rsidRPr="004C2AF0" w:rsidRDefault="005265DC" w:rsidP="006B4433">
            <w:pPr>
              <w:rPr>
                <w:rFonts w:cstheme="minorHAnsi"/>
                <w:highlight w:val="cyan"/>
              </w:rPr>
            </w:pPr>
            <w:r w:rsidRPr="004C2AF0">
              <w:rPr>
                <w:rFonts w:cstheme="minorHAnsi"/>
                <w:highlight w:val="cyan"/>
              </w:rPr>
              <w:t xml:space="preserve">a) comply with the transparency obligations outlined in Article 52 (1), </w:t>
            </w:r>
          </w:p>
          <w:p w14:paraId="1C807B3B" w14:textId="77777777" w:rsidR="005265DC" w:rsidRPr="004C2AF0" w:rsidRDefault="005265DC" w:rsidP="006B4433">
            <w:pPr>
              <w:rPr>
                <w:rFonts w:cstheme="minorHAnsi"/>
                <w:highlight w:val="cyan"/>
              </w:rPr>
            </w:pPr>
          </w:p>
          <w:p w14:paraId="08044B5F" w14:textId="77777777" w:rsidR="005265DC" w:rsidRPr="004C2AF0" w:rsidRDefault="005265DC" w:rsidP="006B4433">
            <w:pPr>
              <w:rPr>
                <w:rFonts w:cstheme="minorHAnsi"/>
                <w:highlight w:val="cyan"/>
              </w:rPr>
            </w:pPr>
            <w:r w:rsidRPr="004C2AF0">
              <w:rPr>
                <w:rFonts w:cstheme="minorHAnsi"/>
                <w:highlight w:val="cyan"/>
              </w:rPr>
              <w:t xml:space="preserve">b) train, and where applicable, design and develop the foundation model in such a way as to ensure adequate safeguards against the generation of content in breach of Union law in line with the </w:t>
            </w:r>
            <w:proofErr w:type="gramStart"/>
            <w:r w:rsidRPr="004C2AF0">
              <w:rPr>
                <w:rFonts w:cstheme="minorHAnsi"/>
                <w:highlight w:val="cyan"/>
              </w:rPr>
              <w:t>generally-acknowledged</w:t>
            </w:r>
            <w:proofErr w:type="gramEnd"/>
            <w:r w:rsidRPr="004C2AF0">
              <w:rPr>
                <w:rFonts w:cstheme="minorHAnsi"/>
                <w:highlight w:val="cyan"/>
              </w:rPr>
              <w:t xml:space="preserve"> state of the art, and without prejudice to fundamental </w:t>
            </w:r>
            <w:r w:rsidRPr="004C2AF0">
              <w:rPr>
                <w:rFonts w:cstheme="minorHAnsi"/>
                <w:highlight w:val="cyan"/>
              </w:rPr>
              <w:lastRenderedPageBreak/>
              <w:t>rights, including the freedom of expression,</w:t>
            </w:r>
          </w:p>
          <w:p w14:paraId="27CC332F" w14:textId="77777777" w:rsidR="005265DC" w:rsidRPr="004C2AF0" w:rsidRDefault="005265DC" w:rsidP="006B4433">
            <w:pPr>
              <w:rPr>
                <w:rFonts w:cstheme="minorHAnsi"/>
                <w:highlight w:val="cyan"/>
              </w:rPr>
            </w:pPr>
          </w:p>
          <w:p w14:paraId="5FD46A57" w14:textId="77777777" w:rsidR="005265DC" w:rsidRPr="004C2AF0" w:rsidRDefault="005265DC" w:rsidP="006B4433">
            <w:pPr>
              <w:rPr>
                <w:rFonts w:cstheme="minorHAnsi"/>
                <w:highlight w:val="magenta"/>
              </w:rPr>
            </w:pPr>
            <w:r w:rsidRPr="004C2AF0">
              <w:rPr>
                <w:rFonts w:cstheme="minorHAnsi"/>
                <w:highlight w:val="cyan"/>
              </w:rPr>
              <w:t>c) without prejudice to Union or national or Union legislation on copyright, document and make publicly available a sufficiently detailed summary of the use of training data protected under copyright law.</w:t>
            </w:r>
          </w:p>
        </w:tc>
        <w:tc>
          <w:tcPr>
            <w:tcW w:w="3479" w:type="dxa"/>
          </w:tcPr>
          <w:p w14:paraId="73006465" w14:textId="77777777" w:rsidR="005265DC" w:rsidRPr="004C2AF0" w:rsidRDefault="005265DC" w:rsidP="006B4433">
            <w:pPr>
              <w:rPr>
                <w:rFonts w:cstheme="minorHAnsi"/>
              </w:rPr>
            </w:pPr>
          </w:p>
        </w:tc>
        <w:tc>
          <w:tcPr>
            <w:tcW w:w="4266" w:type="dxa"/>
            <w:gridSpan w:val="2"/>
          </w:tcPr>
          <w:p w14:paraId="711859E5" w14:textId="77777777" w:rsidR="005265DC" w:rsidRPr="004C2AF0" w:rsidRDefault="005265DC" w:rsidP="006B4433">
            <w:pPr>
              <w:rPr>
                <w:rFonts w:cstheme="minorHAnsi"/>
              </w:rPr>
            </w:pPr>
            <w:r w:rsidRPr="004C2AF0">
              <w:rPr>
                <w:rFonts w:cstheme="minorHAnsi"/>
              </w:rPr>
              <w:t>KEY CHANGES:</w:t>
            </w:r>
          </w:p>
          <w:p w14:paraId="4E3D92E9" w14:textId="77777777" w:rsidR="005265DC" w:rsidRPr="004C2AF0" w:rsidRDefault="005265DC">
            <w:pPr>
              <w:pStyle w:val="ListParagraph"/>
              <w:numPr>
                <w:ilvl w:val="0"/>
                <w:numId w:val="2"/>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 xml:space="preserve">Providers of foundation models would be required to ensure the robust protection of fundamental rights, health and safety, environment, democracy, and the rule of law. </w:t>
            </w:r>
          </w:p>
          <w:p w14:paraId="2B39E411" w14:textId="77777777" w:rsidR="005265DC" w:rsidRPr="004C2AF0" w:rsidRDefault="005265DC">
            <w:pPr>
              <w:pStyle w:val="ListParagraph"/>
              <w:numPr>
                <w:ilvl w:val="0"/>
                <w:numId w:val="2"/>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lastRenderedPageBreak/>
              <w:t xml:space="preserve">They must assess and mitigate risks, adhere to design, information, and environmental requirements, and register in the EU database. </w:t>
            </w:r>
          </w:p>
          <w:p w14:paraId="66EF1779" w14:textId="77777777" w:rsidR="005265DC" w:rsidRPr="004C2AF0" w:rsidRDefault="005265DC">
            <w:pPr>
              <w:pStyle w:val="ListParagraph"/>
              <w:numPr>
                <w:ilvl w:val="0"/>
                <w:numId w:val="2"/>
              </w:numPr>
              <w:suppressAutoHyphens w:val="0"/>
              <w:autoSpaceDN/>
              <w:spacing w:after="0" w:line="240" w:lineRule="auto"/>
              <w:ind w:left="0" w:hanging="17"/>
              <w:contextualSpacing/>
              <w:textAlignment w:val="auto"/>
              <w:rPr>
                <w:rFonts w:asciiTheme="minorHAnsi" w:hAnsiTheme="minorHAnsi" w:cstheme="minorHAnsi"/>
              </w:rPr>
            </w:pPr>
            <w:r w:rsidRPr="004C2AF0">
              <w:rPr>
                <w:rFonts w:asciiTheme="minorHAnsi" w:hAnsiTheme="minorHAnsi" w:cstheme="minorHAnsi"/>
              </w:rPr>
              <w:t>Generative foundation models like GPT must meet additional transparency requirements, such as disclosing that the content was generated by AI, designing the model to prevent the generation of illegal content, and publishing summaries of copyrighted data used for training.</w:t>
            </w:r>
          </w:p>
          <w:p w14:paraId="7D6458BE" w14:textId="77777777" w:rsidR="005265DC" w:rsidRPr="004C2AF0" w:rsidRDefault="005265DC" w:rsidP="006B4433">
            <w:pPr>
              <w:rPr>
                <w:rFonts w:cstheme="minorHAnsi"/>
              </w:rPr>
            </w:pPr>
          </w:p>
          <w:p w14:paraId="0DAD5E6C" w14:textId="77777777" w:rsidR="005265DC" w:rsidRPr="004C2AF0" w:rsidRDefault="005265DC" w:rsidP="006B4433">
            <w:pPr>
              <w:rPr>
                <w:rFonts w:cstheme="minorHAnsi"/>
              </w:rPr>
            </w:pPr>
            <w:r w:rsidRPr="004C2AF0">
              <w:rPr>
                <w:rFonts w:cstheme="minorHAnsi"/>
              </w:rPr>
              <w:t>FEDMA’S TAKEAWAYS</w:t>
            </w:r>
          </w:p>
          <w:p w14:paraId="4F0C1034" w14:textId="77777777" w:rsidR="005265DC" w:rsidRPr="004C2AF0" w:rsidRDefault="005265DC" w:rsidP="006B4433">
            <w:pPr>
              <w:rPr>
                <w:rFonts w:cstheme="minorHAnsi"/>
              </w:rPr>
            </w:pPr>
            <w:r w:rsidRPr="004C2AF0">
              <w:rPr>
                <w:rFonts w:cstheme="minorHAnsi"/>
              </w:rPr>
              <w:t>As foundation models are increasingly being used in data-driven marketing, there is a risk that the cost of compliance with excessive requirements by providers of these models would be passed down to their users (</w:t>
            </w:r>
            <w:proofErr w:type="gramStart"/>
            <w:r w:rsidRPr="004C2AF0">
              <w:rPr>
                <w:rFonts w:cstheme="minorHAnsi"/>
              </w:rPr>
              <w:t>e.g.</w:t>
            </w:r>
            <w:proofErr w:type="gramEnd"/>
            <w:r w:rsidRPr="004C2AF0">
              <w:rPr>
                <w:rFonts w:cstheme="minorHAnsi"/>
              </w:rPr>
              <w:t xml:space="preserve"> marketers).</w:t>
            </w:r>
          </w:p>
          <w:p w14:paraId="1CD672DC" w14:textId="77777777" w:rsidR="005265DC" w:rsidRPr="004C2AF0" w:rsidRDefault="005265DC" w:rsidP="006B4433">
            <w:pPr>
              <w:rPr>
                <w:rFonts w:cstheme="minorHAnsi"/>
              </w:rPr>
            </w:pPr>
          </w:p>
          <w:p w14:paraId="6A011ED6" w14:textId="77777777" w:rsidR="005265DC" w:rsidRPr="004C2AF0" w:rsidRDefault="005265DC" w:rsidP="006B4433">
            <w:pPr>
              <w:spacing w:line="259" w:lineRule="auto"/>
              <w:rPr>
                <w:rFonts w:cstheme="minorHAnsi"/>
                <w:b/>
                <w:bCs/>
              </w:rPr>
            </w:pPr>
            <w:r w:rsidRPr="004C2AF0">
              <w:rPr>
                <w:rFonts w:cstheme="minorHAnsi"/>
                <w:b/>
                <w:bCs/>
              </w:rPr>
              <w:t>TO WHAT EXTENT MAY THE EP’S TEXT AFFECT FOUNDATION MODELS EMPLOYED IN THE DATA &amp; MARKETING SECTOR?</w:t>
            </w:r>
          </w:p>
        </w:tc>
      </w:tr>
      <w:tr w:rsidR="005265DC" w:rsidRPr="004C2AF0" w14:paraId="4DBCD177" w14:textId="77777777" w:rsidTr="001B49BB">
        <w:trPr>
          <w:trHeight w:val="300"/>
        </w:trPr>
        <w:tc>
          <w:tcPr>
            <w:tcW w:w="15882" w:type="dxa"/>
            <w:gridSpan w:val="7"/>
            <w:shd w:val="clear" w:color="auto" w:fill="00B0F0"/>
          </w:tcPr>
          <w:p w14:paraId="193CC630" w14:textId="77777777" w:rsidR="005265DC" w:rsidRPr="001B49BB" w:rsidRDefault="005265DC" w:rsidP="006B4433">
            <w:pPr>
              <w:jc w:val="center"/>
              <w:rPr>
                <w:rFonts w:cstheme="minorHAnsi"/>
                <w:b/>
                <w:bCs/>
                <w:color w:val="FFFFFF" w:themeColor="background1"/>
              </w:rPr>
            </w:pPr>
            <w:bookmarkStart w:id="5" w:name="annexIII"/>
            <w:r w:rsidRPr="001B49BB">
              <w:rPr>
                <w:rFonts w:cstheme="minorHAnsi"/>
                <w:b/>
                <w:bCs/>
                <w:color w:val="FFFFFF" w:themeColor="background1"/>
              </w:rPr>
              <w:lastRenderedPageBreak/>
              <w:t>ANNEX III</w:t>
            </w:r>
          </w:p>
          <w:p w14:paraId="4B8BD024" w14:textId="77777777" w:rsidR="005265DC" w:rsidRPr="001B49BB" w:rsidRDefault="005265DC" w:rsidP="006B4433">
            <w:pPr>
              <w:jc w:val="center"/>
              <w:rPr>
                <w:rFonts w:cstheme="minorHAnsi"/>
                <w:b/>
                <w:bCs/>
                <w:color w:val="FFFFFF" w:themeColor="background1"/>
              </w:rPr>
            </w:pPr>
            <w:bookmarkStart w:id="6" w:name="_Hlk139298624"/>
            <w:r w:rsidRPr="001B49BB">
              <w:rPr>
                <w:rFonts w:cstheme="minorHAnsi"/>
                <w:b/>
                <w:bCs/>
                <w:color w:val="FFFFFF" w:themeColor="background1"/>
              </w:rPr>
              <w:t>High-Risk AI Systems referred to in Article 6(2)</w:t>
            </w:r>
            <w:bookmarkEnd w:id="5"/>
            <w:bookmarkEnd w:id="6"/>
          </w:p>
        </w:tc>
      </w:tr>
      <w:tr w:rsidR="005265DC" w:rsidRPr="004C2AF0" w14:paraId="6AACF592" w14:textId="77777777" w:rsidTr="001B49BB">
        <w:trPr>
          <w:trHeight w:val="300"/>
        </w:trPr>
        <w:tc>
          <w:tcPr>
            <w:tcW w:w="4658" w:type="dxa"/>
            <w:gridSpan w:val="2"/>
          </w:tcPr>
          <w:p w14:paraId="5FBC9AA5" w14:textId="77777777" w:rsidR="005265DC" w:rsidRPr="004C2AF0" w:rsidRDefault="005265DC" w:rsidP="006B4433">
            <w:pPr>
              <w:rPr>
                <w:rFonts w:cstheme="minorHAnsi"/>
              </w:rPr>
            </w:pPr>
            <w:r w:rsidRPr="004C2AF0">
              <w:rPr>
                <w:rFonts w:cstheme="minorHAnsi"/>
              </w:rPr>
              <w:t xml:space="preserve">High-risk AI systems pursuant to Article 6(2) are the AI systems listed in any of the following areas: </w:t>
            </w:r>
          </w:p>
          <w:p w14:paraId="618592AB" w14:textId="77777777" w:rsidR="005265DC" w:rsidRPr="004C2AF0" w:rsidRDefault="005265DC" w:rsidP="006B4433">
            <w:pPr>
              <w:rPr>
                <w:rFonts w:cstheme="minorHAnsi"/>
              </w:rPr>
            </w:pPr>
          </w:p>
          <w:p w14:paraId="5C588515" w14:textId="77777777" w:rsidR="005265DC" w:rsidRPr="004C2AF0" w:rsidRDefault="005265DC" w:rsidP="006B4433">
            <w:pPr>
              <w:rPr>
                <w:rFonts w:cstheme="minorHAnsi"/>
              </w:rPr>
            </w:pPr>
            <w:r w:rsidRPr="004C2AF0">
              <w:rPr>
                <w:rFonts w:cstheme="minorHAnsi"/>
              </w:rPr>
              <w:t xml:space="preserve">1. Biometric identification and categorisation of natural persons: (a) AI systems intended to be used for the ‘real-time’ and ‘post’ remote biometric identification of natural </w:t>
            </w:r>
            <w:proofErr w:type="gramStart"/>
            <w:r w:rsidRPr="004C2AF0">
              <w:rPr>
                <w:rFonts w:cstheme="minorHAnsi"/>
              </w:rPr>
              <w:t>persons;</w:t>
            </w:r>
            <w:proofErr w:type="gramEnd"/>
            <w:r w:rsidRPr="004C2AF0">
              <w:rPr>
                <w:rFonts w:cstheme="minorHAnsi"/>
              </w:rPr>
              <w:t xml:space="preserve"> </w:t>
            </w:r>
          </w:p>
          <w:p w14:paraId="4AF66419" w14:textId="77777777" w:rsidR="005265DC" w:rsidRPr="004C2AF0" w:rsidRDefault="005265DC" w:rsidP="006B4433">
            <w:pPr>
              <w:rPr>
                <w:rFonts w:cstheme="minorHAnsi"/>
              </w:rPr>
            </w:pPr>
            <w:r w:rsidRPr="004C2AF0">
              <w:rPr>
                <w:rFonts w:cstheme="minorHAnsi"/>
              </w:rPr>
              <w:t>2. Management and operation of critical infrastructure […]</w:t>
            </w:r>
          </w:p>
          <w:p w14:paraId="696AFB61" w14:textId="77777777" w:rsidR="005265DC" w:rsidRPr="004C2AF0" w:rsidRDefault="005265DC" w:rsidP="006B4433">
            <w:pPr>
              <w:rPr>
                <w:rFonts w:cstheme="minorHAnsi"/>
              </w:rPr>
            </w:pPr>
            <w:r w:rsidRPr="004C2AF0">
              <w:rPr>
                <w:rFonts w:cstheme="minorHAnsi"/>
              </w:rPr>
              <w:t xml:space="preserve">3. Education and vocational training […] </w:t>
            </w:r>
          </w:p>
          <w:p w14:paraId="483AB272" w14:textId="77777777" w:rsidR="005265DC" w:rsidRPr="004C2AF0" w:rsidRDefault="005265DC" w:rsidP="006B4433">
            <w:pPr>
              <w:rPr>
                <w:rFonts w:cstheme="minorHAnsi"/>
              </w:rPr>
            </w:pPr>
            <w:r w:rsidRPr="004C2AF0">
              <w:rPr>
                <w:rFonts w:cstheme="minorHAnsi"/>
              </w:rPr>
              <w:t xml:space="preserve">4. Employment, workers management and access to self-employment: (a) AI systems intended to be used for recruitment or selection of natural persons, notably for advertising vacancies, screening or filtering applications, evaluating candidates in the course of interviews or tests; (b) AI intended to be used for making decisions on promotion and termination of work-related contractual relationships, for task allocation and </w:t>
            </w:r>
            <w:r w:rsidRPr="004C2AF0">
              <w:rPr>
                <w:rFonts w:cstheme="minorHAnsi"/>
              </w:rPr>
              <w:lastRenderedPageBreak/>
              <w:t xml:space="preserve">for monitoring and evaluating performance and </w:t>
            </w:r>
            <w:proofErr w:type="spellStart"/>
            <w:r w:rsidRPr="004C2AF0">
              <w:rPr>
                <w:rFonts w:cstheme="minorHAnsi"/>
              </w:rPr>
              <w:t>behavior</w:t>
            </w:r>
            <w:proofErr w:type="spellEnd"/>
            <w:r w:rsidRPr="004C2AF0">
              <w:rPr>
                <w:rFonts w:cstheme="minorHAnsi"/>
              </w:rPr>
              <w:t xml:space="preserve"> of persons in such relationships. </w:t>
            </w:r>
          </w:p>
          <w:p w14:paraId="0EDCA312" w14:textId="77777777" w:rsidR="005265DC" w:rsidRPr="004C2AF0" w:rsidRDefault="005265DC" w:rsidP="006B4433">
            <w:pPr>
              <w:rPr>
                <w:rFonts w:cstheme="minorHAnsi"/>
              </w:rPr>
            </w:pPr>
            <w:r w:rsidRPr="004C2AF0">
              <w:rPr>
                <w:rFonts w:cstheme="minorHAnsi"/>
              </w:rPr>
              <w:t xml:space="preserve">5. Access to and enjoyment of essential private services and public services and benefits […] </w:t>
            </w:r>
          </w:p>
          <w:p w14:paraId="4168B358" w14:textId="77777777" w:rsidR="005265DC" w:rsidRPr="004C2AF0" w:rsidRDefault="005265DC" w:rsidP="006B4433">
            <w:pPr>
              <w:rPr>
                <w:rFonts w:cstheme="minorHAnsi"/>
              </w:rPr>
            </w:pPr>
            <w:r w:rsidRPr="004C2AF0">
              <w:rPr>
                <w:rFonts w:cstheme="minorHAnsi"/>
              </w:rPr>
              <w:t>6. Law enforcement […] (</w:t>
            </w:r>
          </w:p>
          <w:p w14:paraId="68B50D95" w14:textId="77777777" w:rsidR="005265DC" w:rsidRPr="004C2AF0" w:rsidRDefault="005265DC" w:rsidP="006B4433">
            <w:pPr>
              <w:rPr>
                <w:rFonts w:cstheme="minorHAnsi"/>
              </w:rPr>
            </w:pPr>
            <w:r w:rsidRPr="004C2AF0">
              <w:rPr>
                <w:rFonts w:cstheme="minorHAnsi"/>
              </w:rPr>
              <w:t xml:space="preserve">7. Migration, </w:t>
            </w:r>
            <w:proofErr w:type="gramStart"/>
            <w:r w:rsidRPr="004C2AF0">
              <w:rPr>
                <w:rFonts w:cstheme="minorHAnsi"/>
              </w:rPr>
              <w:t>asylum</w:t>
            </w:r>
            <w:proofErr w:type="gramEnd"/>
            <w:r w:rsidRPr="004C2AF0">
              <w:rPr>
                <w:rFonts w:cstheme="minorHAnsi"/>
              </w:rPr>
              <w:t xml:space="preserve"> and border control management […]</w:t>
            </w:r>
          </w:p>
          <w:p w14:paraId="04D70C70" w14:textId="77777777" w:rsidR="005265DC" w:rsidRPr="004C2AF0" w:rsidRDefault="005265DC" w:rsidP="006B4433">
            <w:pPr>
              <w:rPr>
                <w:rFonts w:cstheme="minorHAnsi"/>
              </w:rPr>
            </w:pPr>
            <w:r w:rsidRPr="004C2AF0">
              <w:rPr>
                <w:rFonts w:cstheme="minorHAnsi"/>
              </w:rPr>
              <w:t>8. Administration of justice and democratic processes […]</w:t>
            </w:r>
          </w:p>
        </w:tc>
        <w:tc>
          <w:tcPr>
            <w:tcW w:w="3479" w:type="dxa"/>
            <w:gridSpan w:val="2"/>
          </w:tcPr>
          <w:p w14:paraId="4904C91A" w14:textId="77777777" w:rsidR="005265DC" w:rsidRPr="004C2AF0" w:rsidRDefault="005265DC" w:rsidP="006B4433">
            <w:pPr>
              <w:rPr>
                <w:rFonts w:cstheme="minorHAnsi"/>
              </w:rPr>
            </w:pPr>
            <w:r w:rsidRPr="004C2AF0">
              <w:rPr>
                <w:rFonts w:cstheme="minorHAnsi"/>
                <w:highlight w:val="cyan"/>
              </w:rPr>
              <w:lastRenderedPageBreak/>
              <w:t xml:space="preserve">The AI systems specifically </w:t>
            </w:r>
            <w:proofErr w:type="spellStart"/>
            <w:r w:rsidRPr="004C2AF0">
              <w:rPr>
                <w:rFonts w:cstheme="minorHAnsi"/>
                <w:highlight w:val="cyan"/>
              </w:rPr>
              <w:t>refered</w:t>
            </w:r>
            <w:proofErr w:type="spellEnd"/>
            <w:r w:rsidRPr="004C2AF0">
              <w:rPr>
                <w:rFonts w:cstheme="minorHAnsi"/>
                <w:highlight w:val="cyan"/>
              </w:rPr>
              <w:t xml:space="preserve"> to in under points 1 to 8a stand for critical use cases and are each considered to be </w:t>
            </w:r>
            <w:proofErr w:type="spellStart"/>
            <w:r w:rsidRPr="004C2AF0">
              <w:rPr>
                <w:rFonts w:cstheme="minorHAnsi"/>
                <w:highlight w:val="cyan"/>
              </w:rPr>
              <w:t>highrisk</w:t>
            </w:r>
            <w:proofErr w:type="spellEnd"/>
            <w:r w:rsidRPr="004C2AF0">
              <w:rPr>
                <w:rFonts w:cstheme="minorHAnsi"/>
                <w:highlight w:val="cyan"/>
              </w:rPr>
              <w:t xml:space="preserve"> AI systems pursuant to Article 6(2), </w:t>
            </w:r>
            <w:proofErr w:type="gramStart"/>
            <w:r w:rsidRPr="004C2AF0">
              <w:rPr>
                <w:rFonts w:cstheme="minorHAnsi"/>
                <w:highlight w:val="cyan"/>
              </w:rPr>
              <w:t>provided that</w:t>
            </w:r>
            <w:proofErr w:type="gramEnd"/>
            <w:r w:rsidRPr="004C2AF0">
              <w:rPr>
                <w:rFonts w:cstheme="minorHAnsi"/>
                <w:highlight w:val="cyan"/>
              </w:rPr>
              <w:t xml:space="preserve"> they fulfil the criteria set out in that Article:</w:t>
            </w:r>
          </w:p>
          <w:p w14:paraId="57A3CEEC" w14:textId="77777777" w:rsidR="005265DC" w:rsidRPr="004C2AF0" w:rsidRDefault="005265DC" w:rsidP="006B4433">
            <w:pPr>
              <w:rPr>
                <w:rFonts w:cstheme="minorHAnsi"/>
                <w:lang w:val="en-IE"/>
              </w:rPr>
            </w:pPr>
          </w:p>
          <w:p w14:paraId="424623D4" w14:textId="77777777" w:rsidR="005265DC" w:rsidRPr="004C2AF0" w:rsidRDefault="005265DC" w:rsidP="006B4433">
            <w:pPr>
              <w:rPr>
                <w:rFonts w:cstheme="minorHAnsi"/>
              </w:rPr>
            </w:pPr>
            <w:r w:rsidRPr="004C2AF0">
              <w:rPr>
                <w:rFonts w:cstheme="minorHAnsi"/>
              </w:rPr>
              <w:t xml:space="preserve">1.Biometric and </w:t>
            </w:r>
            <w:r w:rsidRPr="004C2AF0">
              <w:rPr>
                <w:rFonts w:cstheme="minorHAnsi"/>
                <w:highlight w:val="cyan"/>
              </w:rPr>
              <w:t>biometrics-based systems</w:t>
            </w:r>
          </w:p>
          <w:p w14:paraId="17D94BAB" w14:textId="77777777" w:rsidR="005265DC" w:rsidRPr="004C2AF0" w:rsidRDefault="005265DC" w:rsidP="006B4433">
            <w:pPr>
              <w:rPr>
                <w:rFonts w:cstheme="minorHAnsi"/>
                <w:highlight w:val="cyan"/>
              </w:rPr>
            </w:pPr>
            <w:r w:rsidRPr="004C2AF0">
              <w:rPr>
                <w:rFonts w:cstheme="minorHAnsi"/>
              </w:rPr>
              <w:t xml:space="preserve">(a) AI systems intended to be used for </w:t>
            </w:r>
            <w:r w:rsidRPr="004C2AF0">
              <w:rPr>
                <w:rFonts w:cstheme="minorHAnsi"/>
                <w:i/>
                <w:iCs/>
                <w:strike/>
              </w:rPr>
              <w:t>the ‘real-time’ and ‘post’ remote</w:t>
            </w:r>
            <w:r w:rsidRPr="004C2AF0">
              <w:rPr>
                <w:rFonts w:cstheme="minorHAnsi"/>
              </w:rPr>
              <w:t xml:space="preserve"> biometric identification of natural persons, </w:t>
            </w:r>
            <w:r w:rsidRPr="004C2AF0">
              <w:rPr>
                <w:rFonts w:cstheme="minorHAnsi"/>
                <w:highlight w:val="cyan"/>
              </w:rPr>
              <w:t xml:space="preserve">with the exception of those mentioned in Article </w:t>
            </w:r>
            <w:proofErr w:type="gramStart"/>
            <w:r w:rsidRPr="004C2AF0">
              <w:rPr>
                <w:rFonts w:cstheme="minorHAnsi"/>
                <w:highlight w:val="cyan"/>
              </w:rPr>
              <w:t>5;</w:t>
            </w:r>
            <w:proofErr w:type="gramEnd"/>
          </w:p>
          <w:p w14:paraId="063895D3" w14:textId="77777777" w:rsidR="005265DC" w:rsidRPr="004C2AF0" w:rsidRDefault="005265DC" w:rsidP="006B4433">
            <w:pPr>
              <w:rPr>
                <w:rFonts w:cstheme="minorHAnsi"/>
              </w:rPr>
            </w:pPr>
            <w:r w:rsidRPr="004C2AF0">
              <w:rPr>
                <w:rFonts w:cstheme="minorHAnsi"/>
                <w:highlight w:val="cyan"/>
              </w:rPr>
              <w:t xml:space="preserve">(a a) AI systems intended to be used to make inferences about personal characteristics of natural persons on the basis of biometric or biometrics-based data, including emotion </w:t>
            </w:r>
            <w:r w:rsidRPr="004C2AF0">
              <w:rPr>
                <w:rFonts w:cstheme="minorHAnsi"/>
                <w:highlight w:val="cyan"/>
              </w:rPr>
              <w:lastRenderedPageBreak/>
              <w:t>recognition systems, with the exception of those mentioned in Article 5; Point 1 shall not include AI systems intended to be used for biometric verification whose sole purpose is to confirm that a specific natural person is the person he or she claims to be.</w:t>
            </w:r>
          </w:p>
          <w:p w14:paraId="43D863B1" w14:textId="77777777" w:rsidR="005265DC" w:rsidRPr="004C2AF0" w:rsidRDefault="005265DC">
            <w:pPr>
              <w:pStyle w:val="ListParagraph"/>
              <w:numPr>
                <w:ilvl w:val="0"/>
                <w:numId w:val="5"/>
              </w:numPr>
              <w:suppressAutoHyphens w:val="0"/>
              <w:autoSpaceDN/>
              <w:spacing w:after="0" w:line="240" w:lineRule="auto"/>
              <w:contextualSpacing/>
              <w:textAlignment w:val="auto"/>
              <w:rPr>
                <w:rFonts w:asciiTheme="minorHAnsi" w:hAnsiTheme="minorHAnsi" w:cstheme="minorHAnsi"/>
              </w:rPr>
            </w:pPr>
            <w:r w:rsidRPr="004C2AF0">
              <w:rPr>
                <w:rFonts w:asciiTheme="minorHAnsi" w:hAnsiTheme="minorHAnsi" w:cstheme="minorHAnsi"/>
              </w:rPr>
              <w:t>Management and operation of critical infrastructure […]</w:t>
            </w:r>
          </w:p>
          <w:p w14:paraId="5F75654D" w14:textId="77777777" w:rsidR="005265DC" w:rsidRPr="004C2AF0" w:rsidRDefault="005265DC">
            <w:pPr>
              <w:pStyle w:val="ListParagraph"/>
              <w:numPr>
                <w:ilvl w:val="0"/>
                <w:numId w:val="5"/>
              </w:numPr>
              <w:suppressAutoHyphens w:val="0"/>
              <w:autoSpaceDN/>
              <w:spacing w:after="0" w:line="240" w:lineRule="auto"/>
              <w:contextualSpacing/>
              <w:textAlignment w:val="auto"/>
              <w:rPr>
                <w:rFonts w:asciiTheme="minorHAnsi" w:hAnsiTheme="minorHAnsi" w:cstheme="minorHAnsi"/>
              </w:rPr>
            </w:pPr>
            <w:r w:rsidRPr="004C2AF0">
              <w:rPr>
                <w:rFonts w:asciiTheme="minorHAnsi" w:hAnsiTheme="minorHAnsi" w:cstheme="minorHAnsi"/>
              </w:rPr>
              <w:t>Education and vocational training […]</w:t>
            </w:r>
          </w:p>
          <w:p w14:paraId="35BC194F" w14:textId="77777777" w:rsidR="005265DC" w:rsidRPr="004C2AF0" w:rsidRDefault="005265DC" w:rsidP="006B4433">
            <w:pPr>
              <w:rPr>
                <w:rFonts w:cstheme="minorHAnsi"/>
              </w:rPr>
            </w:pPr>
            <w:r w:rsidRPr="004C2AF0">
              <w:rPr>
                <w:rFonts w:cstheme="minorHAnsi"/>
              </w:rPr>
              <w:t xml:space="preserve">4. Employment, workers management and access to </w:t>
            </w:r>
            <w:proofErr w:type="spellStart"/>
            <w:r w:rsidRPr="004C2AF0">
              <w:rPr>
                <w:rFonts w:cstheme="minorHAnsi"/>
              </w:rPr>
              <w:t>self employment</w:t>
            </w:r>
            <w:proofErr w:type="spellEnd"/>
            <w:r w:rsidRPr="004C2AF0">
              <w:rPr>
                <w:rFonts w:cstheme="minorHAnsi"/>
              </w:rPr>
              <w:t xml:space="preserve">: (a) AI systems intended to be used for recruitment or selection of natural persons, notably for </w:t>
            </w:r>
            <w:r w:rsidRPr="004C2AF0">
              <w:rPr>
                <w:rFonts w:cstheme="minorHAnsi"/>
                <w:highlight w:val="cyan"/>
              </w:rPr>
              <w:t>placing targeted job advertisements</w:t>
            </w:r>
            <w:r w:rsidRPr="004C2AF0">
              <w:rPr>
                <w:rFonts w:cstheme="minorHAnsi"/>
              </w:rPr>
              <w:t xml:space="preserve"> screening or filtering applications, evaluating candidates in the course of interviews or </w:t>
            </w:r>
            <w:proofErr w:type="gramStart"/>
            <w:r w:rsidRPr="004C2AF0">
              <w:rPr>
                <w:rFonts w:cstheme="minorHAnsi"/>
              </w:rPr>
              <w:t>tests;</w:t>
            </w:r>
            <w:proofErr w:type="gramEnd"/>
          </w:p>
          <w:p w14:paraId="0C23B97A" w14:textId="77777777" w:rsidR="005265DC" w:rsidRPr="004C2AF0" w:rsidRDefault="005265DC" w:rsidP="006B4433">
            <w:pPr>
              <w:rPr>
                <w:rFonts w:cstheme="minorHAnsi"/>
              </w:rPr>
            </w:pPr>
            <w:r w:rsidRPr="004C2AF0">
              <w:rPr>
                <w:rFonts w:cstheme="minorHAnsi"/>
              </w:rPr>
              <w:t>[…]</w:t>
            </w:r>
          </w:p>
          <w:p w14:paraId="518F45A0" w14:textId="77777777" w:rsidR="005265DC" w:rsidRPr="004C2AF0" w:rsidRDefault="005265DC" w:rsidP="006B4433">
            <w:pPr>
              <w:rPr>
                <w:rFonts w:cstheme="minorHAnsi"/>
              </w:rPr>
            </w:pPr>
            <w:r w:rsidRPr="004C2AF0">
              <w:rPr>
                <w:rFonts w:cstheme="minorHAnsi"/>
              </w:rPr>
              <w:t>8. Administration of justice and democratic processes: […]</w:t>
            </w:r>
          </w:p>
          <w:p w14:paraId="006EEFD5" w14:textId="77777777" w:rsidR="005265DC" w:rsidRPr="004C2AF0" w:rsidRDefault="005265DC" w:rsidP="006B4433">
            <w:pPr>
              <w:rPr>
                <w:rFonts w:cstheme="minorHAnsi"/>
                <w:highlight w:val="cyan"/>
              </w:rPr>
            </w:pPr>
            <w:r w:rsidRPr="004C2AF0">
              <w:rPr>
                <w:rFonts w:cstheme="minorHAnsi"/>
                <w:highlight w:val="cyan"/>
              </w:rPr>
              <w:t xml:space="preserve">(a a) AI systems intended to be used for influencing the outcome of an election or referendum or the voting behaviour of natural persons in the exercise of their vote in elections or referenda. This does not include AI systems whose </w:t>
            </w:r>
            <w:r w:rsidRPr="004C2AF0">
              <w:rPr>
                <w:rFonts w:cstheme="minorHAnsi"/>
                <w:highlight w:val="cyan"/>
              </w:rPr>
              <w:lastRenderedPageBreak/>
              <w:t xml:space="preserve">output natural persons are not directly exposed to, such as tools used to organise, </w:t>
            </w:r>
            <w:proofErr w:type="gramStart"/>
            <w:r w:rsidRPr="004C2AF0">
              <w:rPr>
                <w:rFonts w:cstheme="minorHAnsi"/>
                <w:highlight w:val="cyan"/>
              </w:rPr>
              <w:t>optimise</w:t>
            </w:r>
            <w:proofErr w:type="gramEnd"/>
            <w:r w:rsidRPr="004C2AF0">
              <w:rPr>
                <w:rFonts w:cstheme="minorHAnsi"/>
                <w:highlight w:val="cyan"/>
              </w:rPr>
              <w:t xml:space="preserve"> and structure political campaigns from an administrative and logistic point of view.</w:t>
            </w:r>
          </w:p>
          <w:p w14:paraId="3AF376A7" w14:textId="77777777" w:rsidR="005265DC" w:rsidRPr="004C2AF0" w:rsidRDefault="005265DC" w:rsidP="006B4433">
            <w:pPr>
              <w:rPr>
                <w:rFonts w:cstheme="minorHAnsi"/>
                <w:highlight w:val="cyan"/>
              </w:rPr>
            </w:pPr>
          </w:p>
          <w:p w14:paraId="291BA7F5" w14:textId="77777777" w:rsidR="005265DC" w:rsidRPr="004C2AF0" w:rsidRDefault="005265DC" w:rsidP="006B4433">
            <w:pPr>
              <w:rPr>
                <w:rFonts w:cstheme="minorHAnsi"/>
              </w:rPr>
            </w:pPr>
            <w:r w:rsidRPr="004C2AF0">
              <w:rPr>
                <w:rFonts w:cstheme="minorHAnsi"/>
                <w:highlight w:val="cyan"/>
              </w:rPr>
              <w:t>(a b) AI systems intended to be used by social media platforms that have been designated as very large online platforms within the meaning of Article 33 of Regulation EU 2022/2065, in their recommender systems to recommend to the recipient of the service user generated content available on the platform.</w:t>
            </w:r>
          </w:p>
        </w:tc>
        <w:tc>
          <w:tcPr>
            <w:tcW w:w="3479" w:type="dxa"/>
          </w:tcPr>
          <w:p w14:paraId="2507254B" w14:textId="77777777" w:rsidR="005265DC" w:rsidRPr="004C2AF0" w:rsidRDefault="005265DC" w:rsidP="006B4433">
            <w:pPr>
              <w:rPr>
                <w:rFonts w:cstheme="minorHAnsi"/>
              </w:rPr>
            </w:pPr>
            <w:r w:rsidRPr="004C2AF0">
              <w:rPr>
                <w:rFonts w:cstheme="minorHAnsi"/>
              </w:rPr>
              <w:lastRenderedPageBreak/>
              <w:t xml:space="preserve">In each of the areas listed under points 1-8, the AI systems specifically mentioned under each letter </w:t>
            </w:r>
            <w:proofErr w:type="gramStart"/>
            <w:r w:rsidRPr="004C2AF0">
              <w:rPr>
                <w:rFonts w:cstheme="minorHAnsi"/>
              </w:rPr>
              <w:t>are considered to be</w:t>
            </w:r>
            <w:proofErr w:type="gramEnd"/>
            <w:r w:rsidRPr="004C2AF0">
              <w:rPr>
                <w:rFonts w:cstheme="minorHAnsi"/>
              </w:rPr>
              <w:t xml:space="preserve"> high-risk AI systems pursuant to Article 6(3): 1. Biometrics: (a) Remote biometric identification systems. </w:t>
            </w:r>
          </w:p>
          <w:p w14:paraId="1E2E6612" w14:textId="77777777" w:rsidR="005265DC" w:rsidRPr="004C2AF0" w:rsidRDefault="005265DC" w:rsidP="006B4433">
            <w:pPr>
              <w:rPr>
                <w:rFonts w:cstheme="minorHAnsi"/>
              </w:rPr>
            </w:pPr>
            <w:r w:rsidRPr="004C2AF0">
              <w:rPr>
                <w:rFonts w:cstheme="minorHAnsi"/>
              </w:rPr>
              <w:t>2. Critical infrastructure […]</w:t>
            </w:r>
          </w:p>
          <w:p w14:paraId="750E8060" w14:textId="77777777" w:rsidR="005265DC" w:rsidRPr="004C2AF0" w:rsidRDefault="005265DC" w:rsidP="006B4433">
            <w:pPr>
              <w:rPr>
                <w:rFonts w:cstheme="minorHAnsi"/>
              </w:rPr>
            </w:pPr>
            <w:r w:rsidRPr="004C2AF0">
              <w:rPr>
                <w:rFonts w:cstheme="minorHAnsi"/>
              </w:rPr>
              <w:t>3. Education and vocational training: […]</w:t>
            </w:r>
          </w:p>
          <w:p w14:paraId="485FD9C9" w14:textId="77777777" w:rsidR="005265DC" w:rsidRPr="004C2AF0" w:rsidRDefault="005265DC" w:rsidP="006B4433">
            <w:pPr>
              <w:rPr>
                <w:rFonts w:cstheme="minorHAnsi"/>
              </w:rPr>
            </w:pPr>
            <w:r w:rsidRPr="004C2AF0">
              <w:rPr>
                <w:rFonts w:cstheme="minorHAnsi"/>
              </w:rPr>
              <w:t xml:space="preserve">4. Employment, workers management and access to self-employment: (a) AI systems intended to be used for recruitment or selection of natural persons, notably to place targeted job advertisements, to analyse and filter job applications, and to evaluate </w:t>
            </w:r>
            <w:proofErr w:type="gramStart"/>
            <w:r w:rsidRPr="004C2AF0">
              <w:rPr>
                <w:rFonts w:cstheme="minorHAnsi"/>
              </w:rPr>
              <w:t>candidates;</w:t>
            </w:r>
            <w:proofErr w:type="gramEnd"/>
          </w:p>
          <w:p w14:paraId="2032D80D" w14:textId="77777777" w:rsidR="005265DC" w:rsidRPr="004C2AF0" w:rsidRDefault="005265DC" w:rsidP="006B4433">
            <w:pPr>
              <w:rPr>
                <w:rFonts w:cstheme="minorHAnsi"/>
              </w:rPr>
            </w:pPr>
            <w:r w:rsidRPr="004C2AF0">
              <w:rPr>
                <w:rFonts w:cstheme="minorHAnsi"/>
              </w:rPr>
              <w:lastRenderedPageBreak/>
              <w:t xml:space="preserve">(b) AI intended to be used to make decisions on promotion and termination of </w:t>
            </w:r>
            <w:proofErr w:type="spellStart"/>
            <w:r w:rsidRPr="004C2AF0">
              <w:rPr>
                <w:rFonts w:cstheme="minorHAnsi"/>
              </w:rPr>
              <w:t>workrelated</w:t>
            </w:r>
            <w:proofErr w:type="spellEnd"/>
            <w:r w:rsidRPr="004C2AF0">
              <w:rPr>
                <w:rFonts w:cstheme="minorHAnsi"/>
              </w:rPr>
              <w:t xml:space="preserve"> contractual relationships, to allocate tasks based on individual </w:t>
            </w:r>
            <w:proofErr w:type="spellStart"/>
            <w:r w:rsidRPr="004C2AF0">
              <w:rPr>
                <w:rFonts w:cstheme="minorHAnsi"/>
              </w:rPr>
              <w:t>behavior</w:t>
            </w:r>
            <w:proofErr w:type="spellEnd"/>
            <w:r w:rsidRPr="004C2AF0">
              <w:rPr>
                <w:rFonts w:cstheme="minorHAnsi"/>
              </w:rPr>
              <w:t xml:space="preserve"> or personal traits or characteristics and to monitor and evaluate performance and </w:t>
            </w:r>
            <w:proofErr w:type="spellStart"/>
            <w:r w:rsidRPr="004C2AF0">
              <w:rPr>
                <w:rFonts w:cstheme="minorHAnsi"/>
              </w:rPr>
              <w:t>behavior</w:t>
            </w:r>
            <w:proofErr w:type="spellEnd"/>
            <w:r w:rsidRPr="004C2AF0">
              <w:rPr>
                <w:rFonts w:cstheme="minorHAnsi"/>
              </w:rPr>
              <w:t xml:space="preserve"> of persons in such relationships. </w:t>
            </w:r>
          </w:p>
          <w:p w14:paraId="59973101" w14:textId="77777777" w:rsidR="005265DC" w:rsidRPr="004C2AF0" w:rsidRDefault="005265DC" w:rsidP="006B4433">
            <w:pPr>
              <w:rPr>
                <w:rFonts w:cstheme="minorHAnsi"/>
              </w:rPr>
            </w:pPr>
            <w:r w:rsidRPr="004C2AF0">
              <w:rPr>
                <w:rFonts w:cstheme="minorHAnsi"/>
              </w:rPr>
              <w:t>5. Access to and enjoyment of essential private services and essential public services and benefits: […]</w:t>
            </w:r>
          </w:p>
          <w:p w14:paraId="183FDBBE" w14:textId="77777777" w:rsidR="005265DC" w:rsidRPr="004C2AF0" w:rsidRDefault="005265DC" w:rsidP="006B4433">
            <w:pPr>
              <w:rPr>
                <w:rFonts w:cstheme="minorHAnsi"/>
              </w:rPr>
            </w:pPr>
            <w:r w:rsidRPr="004C2AF0">
              <w:rPr>
                <w:rFonts w:cstheme="minorHAnsi"/>
              </w:rPr>
              <w:t>6. Law enforcement: […]</w:t>
            </w:r>
          </w:p>
          <w:p w14:paraId="64DDBC79" w14:textId="77777777" w:rsidR="005265DC" w:rsidRPr="004C2AF0" w:rsidRDefault="005265DC" w:rsidP="006B4433">
            <w:pPr>
              <w:rPr>
                <w:rFonts w:cstheme="minorHAnsi"/>
              </w:rPr>
            </w:pPr>
            <w:r w:rsidRPr="004C2AF0">
              <w:rPr>
                <w:rFonts w:cstheme="minorHAnsi"/>
              </w:rPr>
              <w:t xml:space="preserve">7. Migration, </w:t>
            </w:r>
            <w:proofErr w:type="gramStart"/>
            <w:r w:rsidRPr="004C2AF0">
              <w:rPr>
                <w:rFonts w:cstheme="minorHAnsi"/>
              </w:rPr>
              <w:t>asylum</w:t>
            </w:r>
            <w:proofErr w:type="gramEnd"/>
            <w:r w:rsidRPr="004C2AF0">
              <w:rPr>
                <w:rFonts w:cstheme="minorHAnsi"/>
              </w:rPr>
              <w:t xml:space="preserve"> and border control management: […].</w:t>
            </w:r>
          </w:p>
          <w:p w14:paraId="29944D7E" w14:textId="77777777" w:rsidR="005265DC" w:rsidRPr="004C2AF0" w:rsidRDefault="005265DC" w:rsidP="006B4433">
            <w:pPr>
              <w:rPr>
                <w:rFonts w:cstheme="minorHAnsi"/>
              </w:rPr>
            </w:pPr>
            <w:r w:rsidRPr="004C2AF0">
              <w:rPr>
                <w:rFonts w:cstheme="minorHAnsi"/>
              </w:rPr>
              <w:t xml:space="preserve"> 8. Administration of justice and democratic processes: […]</w:t>
            </w:r>
          </w:p>
        </w:tc>
        <w:tc>
          <w:tcPr>
            <w:tcW w:w="4266" w:type="dxa"/>
            <w:gridSpan w:val="2"/>
          </w:tcPr>
          <w:p w14:paraId="396DA4F4" w14:textId="77777777" w:rsidR="005265DC" w:rsidRPr="004C2AF0" w:rsidRDefault="005265DC" w:rsidP="006B4433">
            <w:pPr>
              <w:rPr>
                <w:rFonts w:cstheme="minorHAnsi"/>
                <w:b/>
                <w:bCs/>
              </w:rPr>
            </w:pPr>
            <w:r w:rsidRPr="004C2AF0">
              <w:rPr>
                <w:rFonts w:cstheme="minorHAnsi"/>
                <w:b/>
                <w:bCs/>
              </w:rPr>
              <w:lastRenderedPageBreak/>
              <w:t>KEY CHANGES</w:t>
            </w:r>
          </w:p>
          <w:p w14:paraId="3E5DF7BD" w14:textId="77777777" w:rsidR="005265DC" w:rsidRPr="004C2AF0" w:rsidRDefault="005265DC">
            <w:pPr>
              <w:pStyle w:val="ListParagraph"/>
              <w:numPr>
                <w:ilvl w:val="0"/>
                <w:numId w:val="1"/>
              </w:numPr>
              <w:suppressAutoHyphens w:val="0"/>
              <w:autoSpaceDN/>
              <w:spacing w:after="0" w:line="240" w:lineRule="auto"/>
              <w:ind w:left="0" w:hanging="17"/>
              <w:contextualSpacing/>
              <w:textAlignment w:val="auto"/>
              <w:rPr>
                <w:rFonts w:asciiTheme="minorHAnsi" w:hAnsiTheme="minorHAnsi" w:cstheme="minorHAnsi"/>
                <w:lang w:val="en-US"/>
              </w:rPr>
            </w:pPr>
            <w:r w:rsidRPr="004C2AF0">
              <w:rPr>
                <w:rFonts w:asciiTheme="minorHAnsi" w:hAnsiTheme="minorHAnsi" w:cstheme="minorHAnsi"/>
                <w:lang w:val="en-US"/>
              </w:rPr>
              <w:t xml:space="preserve">The Council removed from the list of </w:t>
            </w:r>
            <w:proofErr w:type="gramStart"/>
            <w:r w:rsidRPr="004C2AF0">
              <w:rPr>
                <w:rFonts w:asciiTheme="minorHAnsi" w:hAnsiTheme="minorHAnsi" w:cstheme="minorHAnsi"/>
                <w:lang w:val="en-US"/>
              </w:rPr>
              <w:t>high risk</w:t>
            </w:r>
            <w:proofErr w:type="gramEnd"/>
            <w:r w:rsidRPr="004C2AF0">
              <w:rPr>
                <w:rFonts w:asciiTheme="minorHAnsi" w:hAnsiTheme="minorHAnsi" w:cstheme="minorHAnsi"/>
                <w:lang w:val="en-US"/>
              </w:rPr>
              <w:t xml:space="preserve"> AI deep fake detection by law enforcement, crime analytics, and verification of travel document authenticity. They added critical digital infrastructure and life and health insurance to the list. </w:t>
            </w:r>
          </w:p>
          <w:p w14:paraId="35F5D1FF" w14:textId="77777777" w:rsidR="005265DC" w:rsidRPr="004C2AF0" w:rsidRDefault="005265DC">
            <w:pPr>
              <w:pStyle w:val="ListParagraph"/>
              <w:numPr>
                <w:ilvl w:val="0"/>
                <w:numId w:val="1"/>
              </w:numPr>
              <w:suppressAutoHyphens w:val="0"/>
              <w:autoSpaceDN/>
              <w:spacing w:after="0" w:line="240" w:lineRule="auto"/>
              <w:ind w:left="0" w:hanging="17"/>
              <w:contextualSpacing/>
              <w:textAlignment w:val="auto"/>
              <w:rPr>
                <w:rFonts w:asciiTheme="minorHAnsi" w:hAnsiTheme="minorHAnsi" w:cstheme="minorHAnsi"/>
                <w:lang w:val="en-US"/>
              </w:rPr>
            </w:pPr>
            <w:r w:rsidRPr="004C2AF0">
              <w:rPr>
                <w:rFonts w:asciiTheme="minorHAnsi" w:hAnsiTheme="minorHAnsi" w:cstheme="minorHAnsi"/>
                <w:lang w:val="en-US"/>
              </w:rPr>
              <w:t>The EP expanded the list by introducing biometrics, critical infrastructure, recommender systems used by major social media platforms, AI systems that may impact electoral outcomes, AI used in dispute resolutions, and border management.</w:t>
            </w:r>
          </w:p>
          <w:p w14:paraId="3285F04A" w14:textId="77777777" w:rsidR="005265DC" w:rsidRPr="004C2AF0" w:rsidRDefault="005265DC" w:rsidP="006B4433">
            <w:pPr>
              <w:rPr>
                <w:rFonts w:cstheme="minorHAnsi"/>
              </w:rPr>
            </w:pPr>
          </w:p>
          <w:p w14:paraId="576019C1" w14:textId="77777777" w:rsidR="005265DC" w:rsidRPr="004C2AF0" w:rsidRDefault="005265DC" w:rsidP="006B4433">
            <w:pPr>
              <w:rPr>
                <w:rFonts w:cstheme="minorHAnsi"/>
                <w:b/>
                <w:bCs/>
              </w:rPr>
            </w:pPr>
            <w:r w:rsidRPr="004C2AF0">
              <w:rPr>
                <w:rFonts w:cstheme="minorHAnsi"/>
                <w:b/>
                <w:bCs/>
              </w:rPr>
              <w:t>FEDMA’S RECOMMENDATION:</w:t>
            </w:r>
          </w:p>
          <w:p w14:paraId="1CC8D6E9" w14:textId="77777777" w:rsidR="005265DC" w:rsidRPr="004C2AF0" w:rsidRDefault="005265DC" w:rsidP="006B4433">
            <w:pPr>
              <w:rPr>
                <w:rFonts w:cstheme="minorHAnsi"/>
              </w:rPr>
            </w:pPr>
            <w:r w:rsidRPr="004C2AF0">
              <w:rPr>
                <w:rFonts w:cstheme="minorHAnsi"/>
              </w:rPr>
              <w:t xml:space="preserve">Refraining from categorizing AI systems used in data-driven marketing as high-risk: currently only AI systems used for </w:t>
            </w:r>
            <w:r w:rsidRPr="004C2AF0">
              <w:rPr>
                <w:rFonts w:cstheme="minorHAnsi"/>
              </w:rPr>
              <w:lastRenderedPageBreak/>
              <w:t>advertising job vacancies are included in the list by all EU institutions.</w:t>
            </w:r>
          </w:p>
          <w:p w14:paraId="5FE95B4B" w14:textId="77777777" w:rsidR="005265DC" w:rsidRPr="004C2AF0" w:rsidRDefault="005265DC" w:rsidP="006B4433">
            <w:pPr>
              <w:rPr>
                <w:rFonts w:cstheme="minorHAnsi"/>
              </w:rPr>
            </w:pPr>
          </w:p>
          <w:p w14:paraId="1660445C" w14:textId="77777777" w:rsidR="005265DC" w:rsidRPr="004C2AF0" w:rsidRDefault="005265DC" w:rsidP="006B4433">
            <w:pPr>
              <w:spacing w:line="259" w:lineRule="auto"/>
              <w:rPr>
                <w:rFonts w:cstheme="minorHAnsi"/>
                <w:b/>
                <w:bCs/>
              </w:rPr>
            </w:pPr>
            <w:r w:rsidRPr="004C2AF0">
              <w:rPr>
                <w:rFonts w:cstheme="minorHAnsi"/>
                <w:b/>
                <w:bCs/>
              </w:rPr>
              <w:t>WHICH TEXT DO YOU SUPPORT?</w:t>
            </w:r>
          </w:p>
          <w:p w14:paraId="062B376C"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Commission</w:t>
            </w:r>
          </w:p>
          <w:p w14:paraId="42F9CDFA"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European Parliament</w:t>
            </w:r>
          </w:p>
          <w:p w14:paraId="045FBBF4" w14:textId="77777777" w:rsidR="005265DC" w:rsidRPr="004C2AF0" w:rsidRDefault="005265DC">
            <w:pPr>
              <w:pStyle w:val="ListParagraph"/>
              <w:numPr>
                <w:ilvl w:val="0"/>
                <w:numId w:val="4"/>
              </w:numPr>
              <w:suppressAutoHyphens w:val="0"/>
              <w:autoSpaceDN/>
              <w:spacing w:after="0" w:line="259" w:lineRule="auto"/>
              <w:contextualSpacing/>
              <w:textAlignment w:val="auto"/>
              <w:rPr>
                <w:rFonts w:asciiTheme="minorHAnsi" w:hAnsiTheme="minorHAnsi" w:cstheme="minorHAnsi"/>
              </w:rPr>
            </w:pPr>
            <w:r w:rsidRPr="004C2AF0">
              <w:rPr>
                <w:rFonts w:asciiTheme="minorHAnsi" w:hAnsiTheme="minorHAnsi" w:cstheme="minorHAnsi"/>
              </w:rPr>
              <w:t>Council of the EU</w:t>
            </w:r>
          </w:p>
          <w:p w14:paraId="67BA21BB" w14:textId="77777777" w:rsidR="005265DC" w:rsidRPr="004C2AF0" w:rsidRDefault="005265DC" w:rsidP="006B4433">
            <w:pPr>
              <w:rPr>
                <w:rFonts w:cstheme="minorHAnsi"/>
              </w:rPr>
            </w:pPr>
          </w:p>
        </w:tc>
      </w:tr>
    </w:tbl>
    <w:p w14:paraId="0855DECC" w14:textId="77777777" w:rsidR="005265DC" w:rsidRPr="005C7508" w:rsidRDefault="005265DC" w:rsidP="005265DC">
      <w:pPr>
        <w:rPr>
          <w:rFonts w:asciiTheme="majorHAnsi" w:hAnsiTheme="majorHAnsi" w:cstheme="majorHAnsi"/>
          <w:lang w:val="it-IT"/>
        </w:rPr>
      </w:pPr>
    </w:p>
    <w:p w14:paraId="77EF3F4B" w14:textId="5D927B26" w:rsidR="0082683C" w:rsidRPr="0082683C" w:rsidRDefault="0082683C" w:rsidP="0082683C">
      <w:pPr>
        <w:autoSpaceDE w:val="0"/>
        <w:autoSpaceDN w:val="0"/>
        <w:adjustRightInd w:val="0"/>
        <w:spacing w:after="0" w:line="360" w:lineRule="auto"/>
        <w:jc w:val="center"/>
        <w:rPr>
          <w:rFonts w:ascii="Century Gothic" w:hAnsi="Century Gothic" w:cs="FreeSans"/>
          <w:lang w:val="en-US"/>
        </w:rPr>
      </w:pPr>
    </w:p>
    <w:sectPr w:rsidR="0082683C" w:rsidRPr="0082683C" w:rsidSect="001C4288">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656" w:bottom="1134" w:left="181" w:header="709"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2BE1" w14:textId="77777777" w:rsidR="0007081B" w:rsidRDefault="0007081B" w:rsidP="00B70B12">
      <w:pPr>
        <w:spacing w:after="0" w:line="240" w:lineRule="auto"/>
      </w:pPr>
      <w:r>
        <w:separator/>
      </w:r>
    </w:p>
  </w:endnote>
  <w:endnote w:type="continuationSeparator" w:id="0">
    <w:p w14:paraId="56EC78A3" w14:textId="77777777" w:rsidR="0007081B" w:rsidRDefault="0007081B" w:rsidP="00B70B12">
      <w:pPr>
        <w:spacing w:after="0" w:line="240" w:lineRule="auto"/>
      </w:pPr>
      <w:r>
        <w:continuationSeparator/>
      </w:r>
    </w:p>
  </w:endnote>
  <w:endnote w:type="continuationNotice" w:id="1">
    <w:p w14:paraId="15E1CE2E" w14:textId="77777777" w:rsidR="005E702B" w:rsidRDefault="005E7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ee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9E9E" w14:textId="77777777" w:rsidR="00C32953" w:rsidRDefault="00C32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902" w14:textId="4DE9E76E" w:rsidR="00895AB2" w:rsidRDefault="00895AB2">
    <w:pPr>
      <w:pStyle w:val="Footer"/>
    </w:pPr>
    <w:r>
      <w:rPr>
        <w:noProof/>
        <w:lang w:val="fr-FR" w:eastAsia="fr-FR"/>
      </w:rPr>
      <mc:AlternateContent>
        <mc:Choice Requires="wps">
          <w:drawing>
            <wp:anchor distT="0" distB="0" distL="114300" distR="114300" simplePos="0" relativeHeight="251658242" behindDoc="1" locked="0" layoutInCell="1" allowOverlap="1" wp14:anchorId="244F4438" wp14:editId="2BB094A8">
              <wp:simplePos x="0" y="0"/>
              <wp:positionH relativeFrom="column">
                <wp:posOffset>-712470</wp:posOffset>
              </wp:positionH>
              <wp:positionV relativeFrom="paragraph">
                <wp:posOffset>1270</wp:posOffset>
              </wp:positionV>
              <wp:extent cx="11304000" cy="765810"/>
              <wp:effectExtent l="0" t="0" r="0" b="0"/>
              <wp:wrapNone/>
              <wp:docPr id="3" name="Rectangle 3"/>
              <wp:cNvGraphicFramePr/>
              <a:graphic xmlns:a="http://schemas.openxmlformats.org/drawingml/2006/main">
                <a:graphicData uri="http://schemas.microsoft.com/office/word/2010/wordprocessingShape">
                  <wps:wsp>
                    <wps:cNvSpPr/>
                    <wps:spPr>
                      <a:xfrm>
                        <a:off x="0" y="0"/>
                        <a:ext cx="11304000" cy="765810"/>
                      </a:xfrm>
                      <a:prstGeom prst="rect">
                        <a:avLst/>
                      </a:prstGeom>
                      <a:solidFill>
                        <a:srgbClr val="009F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D4BEA" id="Rectangle 3" o:spid="_x0000_s1026" style="position:absolute;margin-left:-56.1pt;margin-top:.1pt;width:890.1pt;height:6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" fillcolor="#009fe3" stroked="f" strokeweight="2pt"/>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5255AD8A" wp14:editId="45C4253F">
              <wp:simplePos x="0" y="0"/>
              <wp:positionH relativeFrom="page">
                <wp:align>center</wp:align>
              </wp:positionH>
              <wp:positionV relativeFrom="paragraph">
                <wp:posOffset>159674</wp:posOffset>
              </wp:positionV>
              <wp:extent cx="3438144" cy="640080"/>
              <wp:effectExtent l="0" t="0" r="0" b="7620"/>
              <wp:wrapNone/>
              <wp:docPr id="23" name="Text Box 15"/>
              <wp:cNvGraphicFramePr/>
              <a:graphic xmlns:a="http://schemas.openxmlformats.org/drawingml/2006/main">
                <a:graphicData uri="http://schemas.microsoft.com/office/word/2010/wordprocessingShape">
                  <wps:wsp>
                    <wps:cNvSpPr txBox="1"/>
                    <wps:spPr>
                      <a:xfrm>
                        <a:off x="0" y="0"/>
                        <a:ext cx="3438144" cy="640080"/>
                      </a:xfrm>
                      <a:prstGeom prst="rect">
                        <a:avLst/>
                      </a:prstGeom>
                      <a:noFill/>
                      <a:ln>
                        <a:noFill/>
                        <a:prstDash/>
                      </a:ln>
                    </wps:spPr>
                    <wps:txbx>
                      <w:txbxContent>
                        <w:p w14:paraId="7B664191" w14:textId="47204422" w:rsidR="00895AB2" w:rsidRPr="004D5E43" w:rsidRDefault="00895AB2" w:rsidP="0052434F">
                          <w:pPr>
                            <w:spacing w:after="0"/>
                            <w:jc w:val="center"/>
                            <w:rPr>
                              <w:rFonts w:ascii="Century Gothic" w:hAnsi="Century Gothic"/>
                              <w:b/>
                              <w:color w:val="FFFFFF"/>
                              <w:sz w:val="18"/>
                            </w:rPr>
                          </w:pPr>
                          <w:r w:rsidRPr="004D5E43">
                            <w:rPr>
                              <w:rFonts w:ascii="Century Gothic" w:hAnsi="Century Gothic"/>
                              <w:b/>
                              <w:color w:val="FFFFFF"/>
                              <w:sz w:val="18"/>
                            </w:rPr>
                            <w:t xml:space="preserve">Federation of European </w:t>
                          </w:r>
                          <w:r>
                            <w:rPr>
                              <w:rFonts w:ascii="Century Gothic" w:hAnsi="Century Gothic"/>
                              <w:b/>
                              <w:color w:val="FFFFFF"/>
                              <w:sz w:val="18"/>
                            </w:rPr>
                            <w:t>Data</w:t>
                          </w:r>
                          <w:r w:rsidRPr="004D5E43">
                            <w:rPr>
                              <w:rFonts w:ascii="Century Gothic" w:hAnsi="Century Gothic"/>
                              <w:b/>
                              <w:color w:val="FFFFFF"/>
                              <w:sz w:val="18"/>
                            </w:rPr>
                            <w:t xml:space="preserve"> and Marketing</w:t>
                          </w:r>
                        </w:p>
                        <w:p w14:paraId="1CEE545C" w14:textId="77777777" w:rsidR="00895AB2" w:rsidRPr="004D5E43" w:rsidRDefault="00895AB2" w:rsidP="0052434F">
                          <w:pPr>
                            <w:spacing w:after="0"/>
                            <w:jc w:val="center"/>
                            <w:rPr>
                              <w:rFonts w:ascii="Century Gothic" w:hAnsi="Century Gothic"/>
                              <w:color w:val="FFFFFF"/>
                              <w:sz w:val="18"/>
                            </w:rPr>
                          </w:pPr>
                          <w:r w:rsidRPr="004D5E43">
                            <w:rPr>
                              <w:rFonts w:ascii="Century Gothic" w:hAnsi="Century Gothic"/>
                              <w:color w:val="FFFFFF"/>
                              <w:sz w:val="18"/>
                            </w:rPr>
                            <w:t>Av. Des Arts 43, 5th Floor, 10</w:t>
                          </w:r>
                          <w:r>
                            <w:rPr>
                              <w:rFonts w:ascii="Century Gothic" w:hAnsi="Century Gothic"/>
                              <w:color w:val="FFFFFF"/>
                              <w:sz w:val="18"/>
                            </w:rPr>
                            <w:t>4</w:t>
                          </w:r>
                          <w:r w:rsidRPr="004D5E43">
                            <w:rPr>
                              <w:rFonts w:ascii="Century Gothic" w:hAnsi="Century Gothic"/>
                              <w:color w:val="FFFFFF"/>
                              <w:sz w:val="18"/>
                            </w:rPr>
                            <w:t>0 Brussels</w:t>
                          </w:r>
                        </w:p>
                        <w:p w14:paraId="7E270A7C" w14:textId="77777777" w:rsidR="00895AB2" w:rsidRPr="004D5E43" w:rsidRDefault="00895AB2" w:rsidP="0052434F">
                          <w:pPr>
                            <w:spacing w:after="0"/>
                            <w:jc w:val="center"/>
                            <w:rPr>
                              <w:rFonts w:ascii="Century Gothic" w:hAnsi="Century Gothic"/>
                              <w:sz w:val="16"/>
                            </w:rPr>
                          </w:pPr>
                          <w:r w:rsidRPr="004D5E43">
                            <w:rPr>
                              <w:rFonts w:ascii="Century Gothic" w:hAnsi="Century Gothic"/>
                              <w:color w:val="FFFFFF"/>
                              <w:sz w:val="18"/>
                            </w:rPr>
                            <w:t>+32 2 779 4268 www.fedma.org</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5255AD8A" id="_x0000_t202" coordsize="21600,21600" o:spt="202" path="m,l,21600r21600,l21600,xe">
              <v:stroke joinstyle="miter"/>
              <v:path gradientshapeok="t" o:connecttype="rect"/>
            </v:shapetype>
            <v:shape id="Text Box 15" o:spid="_x0000_s1026" type="#_x0000_t202" style="position:absolute;margin-left:0;margin-top:12.55pt;width:270.7pt;height:50.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" filled="f" stroked="f">
              <v:textbox>
                <w:txbxContent>
                  <w:p w14:paraId="7B664191" w14:textId="47204422" w:rsidR="00895AB2" w:rsidRPr="004D5E43" w:rsidRDefault="00895AB2" w:rsidP="0052434F">
                    <w:pPr>
                      <w:spacing w:after="0"/>
                      <w:jc w:val="center"/>
                      <w:rPr>
                        <w:rFonts w:ascii="Century Gothic" w:hAnsi="Century Gothic"/>
                        <w:b/>
                        <w:color w:val="FFFFFF"/>
                        <w:sz w:val="18"/>
                      </w:rPr>
                    </w:pPr>
                    <w:r w:rsidRPr="004D5E43">
                      <w:rPr>
                        <w:rFonts w:ascii="Century Gothic" w:hAnsi="Century Gothic"/>
                        <w:b/>
                        <w:color w:val="FFFFFF"/>
                        <w:sz w:val="18"/>
                      </w:rPr>
                      <w:t xml:space="preserve">Federation of European </w:t>
                    </w:r>
                    <w:r>
                      <w:rPr>
                        <w:rFonts w:ascii="Century Gothic" w:hAnsi="Century Gothic"/>
                        <w:b/>
                        <w:color w:val="FFFFFF"/>
                        <w:sz w:val="18"/>
                      </w:rPr>
                      <w:t>Data</w:t>
                    </w:r>
                    <w:r w:rsidRPr="004D5E43">
                      <w:rPr>
                        <w:rFonts w:ascii="Century Gothic" w:hAnsi="Century Gothic"/>
                        <w:b/>
                        <w:color w:val="FFFFFF"/>
                        <w:sz w:val="18"/>
                      </w:rPr>
                      <w:t xml:space="preserve"> and Marketing</w:t>
                    </w:r>
                  </w:p>
                  <w:p w14:paraId="1CEE545C" w14:textId="77777777" w:rsidR="00895AB2" w:rsidRPr="004D5E43" w:rsidRDefault="00895AB2" w:rsidP="0052434F">
                    <w:pPr>
                      <w:spacing w:after="0"/>
                      <w:jc w:val="center"/>
                      <w:rPr>
                        <w:rFonts w:ascii="Century Gothic" w:hAnsi="Century Gothic"/>
                        <w:color w:val="FFFFFF"/>
                        <w:sz w:val="18"/>
                      </w:rPr>
                    </w:pPr>
                    <w:r w:rsidRPr="004D5E43">
                      <w:rPr>
                        <w:rFonts w:ascii="Century Gothic" w:hAnsi="Century Gothic"/>
                        <w:color w:val="FFFFFF"/>
                        <w:sz w:val="18"/>
                      </w:rPr>
                      <w:t>Av. Des Arts 43, 5th Floor, 10</w:t>
                    </w:r>
                    <w:r>
                      <w:rPr>
                        <w:rFonts w:ascii="Century Gothic" w:hAnsi="Century Gothic"/>
                        <w:color w:val="FFFFFF"/>
                        <w:sz w:val="18"/>
                      </w:rPr>
                      <w:t>4</w:t>
                    </w:r>
                    <w:r w:rsidRPr="004D5E43">
                      <w:rPr>
                        <w:rFonts w:ascii="Century Gothic" w:hAnsi="Century Gothic"/>
                        <w:color w:val="FFFFFF"/>
                        <w:sz w:val="18"/>
                      </w:rPr>
                      <w:t>0 Brussels</w:t>
                    </w:r>
                  </w:p>
                  <w:p w14:paraId="7E270A7C" w14:textId="77777777" w:rsidR="00895AB2" w:rsidRPr="004D5E43" w:rsidRDefault="00895AB2" w:rsidP="0052434F">
                    <w:pPr>
                      <w:spacing w:after="0"/>
                      <w:jc w:val="center"/>
                      <w:rPr>
                        <w:rFonts w:ascii="Century Gothic" w:hAnsi="Century Gothic"/>
                        <w:sz w:val="16"/>
                      </w:rPr>
                    </w:pPr>
                    <w:r w:rsidRPr="004D5E43">
                      <w:rPr>
                        <w:rFonts w:ascii="Century Gothic" w:hAnsi="Century Gothic"/>
                        <w:color w:val="FFFFFF"/>
                        <w:sz w:val="18"/>
                      </w:rPr>
                      <w:t>+32 2 779 4268 www.fedma.org</w:t>
                    </w:r>
                  </w:p>
                </w:txbxContent>
              </v:textbox>
              <w10:wrap anchorx="page"/>
            </v:shape>
          </w:pict>
        </mc:Fallback>
      </mc:AlternateContent>
    </w:r>
  </w:p>
  <w:p w14:paraId="16D192F5" w14:textId="7DB2C2D9" w:rsidR="00895AB2" w:rsidRDefault="00895AB2">
    <w:pPr>
      <w:pStyle w:val="Footer"/>
    </w:pPr>
  </w:p>
  <w:p w14:paraId="00FF8172" w14:textId="77777777" w:rsidR="00895AB2" w:rsidRDefault="00895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EB5C" w14:textId="77777777" w:rsidR="00C32953" w:rsidRDefault="00C32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EBE3" w14:textId="77777777" w:rsidR="0007081B" w:rsidRDefault="0007081B" w:rsidP="00B70B12">
      <w:pPr>
        <w:spacing w:after="0" w:line="240" w:lineRule="auto"/>
      </w:pPr>
      <w:r>
        <w:separator/>
      </w:r>
    </w:p>
  </w:footnote>
  <w:footnote w:type="continuationSeparator" w:id="0">
    <w:p w14:paraId="28DBF6A6" w14:textId="77777777" w:rsidR="0007081B" w:rsidRDefault="0007081B" w:rsidP="00B70B12">
      <w:pPr>
        <w:spacing w:after="0" w:line="240" w:lineRule="auto"/>
      </w:pPr>
      <w:r>
        <w:continuationSeparator/>
      </w:r>
    </w:p>
  </w:footnote>
  <w:footnote w:type="continuationNotice" w:id="1">
    <w:p w14:paraId="33F2D6B3" w14:textId="77777777" w:rsidR="005E702B" w:rsidRDefault="005E702B">
      <w:pPr>
        <w:spacing w:after="0" w:line="240" w:lineRule="auto"/>
      </w:pPr>
    </w:p>
  </w:footnote>
  <w:footnote w:id="2">
    <w:p w14:paraId="6150FC24" w14:textId="77777777" w:rsidR="005265DC" w:rsidRPr="005A4BC0" w:rsidRDefault="005265DC" w:rsidP="005265DC">
      <w:pPr>
        <w:pStyle w:val="FootnoteText"/>
        <w:rPr>
          <w:lang w:val="en-US"/>
        </w:rPr>
      </w:pPr>
      <w:r>
        <w:rPr>
          <w:rStyle w:val="FootnoteReference"/>
        </w:rPr>
        <w:footnoteRef/>
      </w:r>
      <w:r>
        <w:t xml:space="preserve"> </w:t>
      </w:r>
      <w:r w:rsidRPr="005A4BC0">
        <w:rPr>
          <w:i/>
          <w:iCs/>
          <w:strike/>
          <w:lang w:val="en-US"/>
        </w:rPr>
        <w:t xml:space="preserve">Text: </w:t>
      </w:r>
      <w:r w:rsidRPr="005A4BC0">
        <w:rPr>
          <w:lang w:val="en-US"/>
        </w:rPr>
        <w:t xml:space="preserve">deleted from the EC proposal </w:t>
      </w:r>
    </w:p>
    <w:p w14:paraId="7AE5EE94" w14:textId="77777777" w:rsidR="005265DC" w:rsidRPr="005A4BC0" w:rsidRDefault="005265DC" w:rsidP="005265DC">
      <w:pPr>
        <w:pStyle w:val="FootnoteText"/>
        <w:rPr>
          <w:lang w:val="en-US"/>
        </w:rPr>
      </w:pPr>
      <w:r w:rsidRPr="00EA590E">
        <w:rPr>
          <w:highlight w:val="cyan"/>
          <w:lang w:val="en-US"/>
        </w:rPr>
        <w:t>Text</w:t>
      </w:r>
      <w:r w:rsidRPr="005A4BC0">
        <w:rPr>
          <w:lang w:val="en-US"/>
        </w:rPr>
        <w:t xml:space="preserve">: Added in the adopted negotiating text </w:t>
      </w:r>
    </w:p>
    <w:p w14:paraId="61FEAD7B" w14:textId="77777777" w:rsidR="005265DC" w:rsidRPr="005A4BC0" w:rsidRDefault="005265DC" w:rsidP="005265DC">
      <w:pPr>
        <w:pStyle w:val="FootnoteText"/>
        <w:rPr>
          <w:lang w:val="en-US"/>
        </w:rPr>
      </w:pPr>
      <w:r w:rsidRPr="005A4BC0">
        <w:rPr>
          <w:i/>
          <w:iCs/>
          <w:strike/>
          <w:highlight w:val="yellow"/>
          <w:lang w:val="en-US"/>
        </w:rPr>
        <w:t>Text</w:t>
      </w:r>
      <w:r w:rsidRPr="005A4BC0">
        <w:rPr>
          <w:lang w:val="en-US"/>
        </w:rPr>
        <w:t xml:space="preserve">: Deleted by both the EP and the Council </w:t>
      </w:r>
    </w:p>
    <w:p w14:paraId="0252427F" w14:textId="77777777" w:rsidR="005265DC" w:rsidRPr="005A4BC0" w:rsidRDefault="005265DC" w:rsidP="005265DC">
      <w:pPr>
        <w:pStyle w:val="FootnoteText"/>
        <w:rPr>
          <w:lang w:val="en-US"/>
        </w:rPr>
      </w:pPr>
      <w:r w:rsidRPr="00EA590E">
        <w:rPr>
          <w:highlight w:val="cyan"/>
          <w:u w:val="single"/>
          <w:lang w:val="en-US"/>
        </w:rPr>
        <w:t>Text</w:t>
      </w:r>
      <w:r w:rsidRPr="005A4BC0">
        <w:rPr>
          <w:lang w:val="en-US"/>
        </w:rPr>
        <w:t>: Added by both the EP and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51CF" w14:textId="77777777" w:rsidR="00C32953" w:rsidRDefault="00C32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A55" w14:textId="395EBFD5" w:rsidR="00895AB2" w:rsidRDefault="00C32953" w:rsidP="008D1B04">
    <w:pPr>
      <w:jc w:val="right"/>
      <w:rPr>
        <w:rFonts w:ascii="Calibri Light" w:hAnsi="Calibri Light"/>
        <w:b/>
        <w:color w:val="0018A8"/>
        <w:sz w:val="44"/>
        <w:szCs w:val="44"/>
      </w:rPr>
    </w:pPr>
    <w:sdt>
      <w:sdtPr>
        <w:rPr>
          <w:rFonts w:ascii="Calibri Light" w:hAnsi="Calibri Light"/>
          <w:b/>
          <w:color w:val="0018A8"/>
          <w:sz w:val="44"/>
          <w:szCs w:val="44"/>
        </w:rPr>
        <w:id w:val="1497385089"/>
        <w:docPartObj>
          <w:docPartGallery w:val="Watermarks"/>
          <w:docPartUnique/>
        </w:docPartObj>
      </w:sdtPr>
      <w:sdtContent>
        <w:r w:rsidRPr="00C32953">
          <w:rPr>
            <w:rFonts w:ascii="Calibri Light" w:hAnsi="Calibri Light"/>
            <w:b/>
            <w:noProof/>
            <w:color w:val="0018A8"/>
            <w:sz w:val="44"/>
            <w:szCs w:val="44"/>
          </w:rPr>
          <w:pict w14:anchorId="6DE5F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619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895AB2" w:rsidRPr="00736149">
      <w:rPr>
        <w:b/>
        <w:noProof/>
        <w:color w:val="0018A8"/>
        <w:sz w:val="44"/>
        <w:szCs w:val="44"/>
        <w:lang w:val="fr-FR" w:eastAsia="fr-FR"/>
      </w:rPr>
      <w:drawing>
        <wp:anchor distT="0" distB="0" distL="114300" distR="114300" simplePos="0" relativeHeight="251658241" behindDoc="0" locked="0" layoutInCell="1" allowOverlap="1" wp14:anchorId="1F2F9F0A" wp14:editId="6C33F22E">
          <wp:simplePos x="0" y="0"/>
          <wp:positionH relativeFrom="column">
            <wp:posOffset>329565</wp:posOffset>
          </wp:positionH>
          <wp:positionV relativeFrom="paragraph">
            <wp:posOffset>-145415</wp:posOffset>
          </wp:positionV>
          <wp:extent cx="2105025" cy="701202"/>
          <wp:effectExtent l="0" t="0" r="0" b="0"/>
          <wp:wrapNone/>
          <wp:docPr id="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1"/>
                  <pic:cNvPicPr>
                    <a:picLocks noChangeAspect="1" noChangeArrowheads="1"/>
                  </pic:cNvPicPr>
                </pic:nvPicPr>
                <pic:blipFill>
                  <a:blip r:embed="rId1"/>
                  <a:stretch>
                    <a:fillRect/>
                  </a:stretch>
                </pic:blipFill>
                <pic:spPr bwMode="auto">
                  <a:xfrm>
                    <a:off x="0" y="0"/>
                    <a:ext cx="2105025" cy="701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09D2D" w14:textId="70C5F7FE" w:rsidR="00895AB2" w:rsidRPr="0029291D" w:rsidRDefault="00895AB2" w:rsidP="003C022C">
    <w:pPr>
      <w:jc w:val="right"/>
      <w:rPr>
        <w:b/>
        <w:color w:val="009FE3"/>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A0FF" w14:textId="77777777" w:rsidR="00C32953" w:rsidRDefault="00C32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490"/>
    <w:multiLevelType w:val="hybridMultilevel"/>
    <w:tmpl w:val="3CEA2A5A"/>
    <w:lvl w:ilvl="0" w:tplc="906ADC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7D5DE8"/>
    <w:multiLevelType w:val="hybridMultilevel"/>
    <w:tmpl w:val="A2CA88FC"/>
    <w:lvl w:ilvl="0" w:tplc="BEAEC310">
      <w:start w:val="1"/>
      <w:numFmt w:val="bullet"/>
      <w:lvlText w:val=""/>
      <w:lvlJc w:val="left"/>
      <w:pPr>
        <w:ind w:left="720" w:hanging="360"/>
      </w:pPr>
      <w:rPr>
        <w:rFonts w:ascii="Wingdings" w:hAnsi="Wingdings" w:hint="default"/>
      </w:rPr>
    </w:lvl>
    <w:lvl w:ilvl="1" w:tplc="D166EA04">
      <w:start w:val="1"/>
      <w:numFmt w:val="bullet"/>
      <w:lvlText w:val="o"/>
      <w:lvlJc w:val="left"/>
      <w:pPr>
        <w:ind w:left="1440" w:hanging="360"/>
      </w:pPr>
      <w:rPr>
        <w:rFonts w:ascii="Courier New" w:hAnsi="Courier New" w:hint="default"/>
      </w:rPr>
    </w:lvl>
    <w:lvl w:ilvl="2" w:tplc="5570350E">
      <w:start w:val="1"/>
      <w:numFmt w:val="bullet"/>
      <w:lvlText w:val=""/>
      <w:lvlJc w:val="left"/>
      <w:pPr>
        <w:ind w:left="2160" w:hanging="360"/>
      </w:pPr>
      <w:rPr>
        <w:rFonts w:ascii="Wingdings" w:hAnsi="Wingdings" w:hint="default"/>
      </w:rPr>
    </w:lvl>
    <w:lvl w:ilvl="3" w:tplc="E02EDE92">
      <w:start w:val="1"/>
      <w:numFmt w:val="bullet"/>
      <w:lvlText w:val=""/>
      <w:lvlJc w:val="left"/>
      <w:pPr>
        <w:ind w:left="2880" w:hanging="360"/>
      </w:pPr>
      <w:rPr>
        <w:rFonts w:ascii="Symbol" w:hAnsi="Symbol" w:hint="default"/>
      </w:rPr>
    </w:lvl>
    <w:lvl w:ilvl="4" w:tplc="32566920">
      <w:start w:val="1"/>
      <w:numFmt w:val="bullet"/>
      <w:lvlText w:val="o"/>
      <w:lvlJc w:val="left"/>
      <w:pPr>
        <w:ind w:left="3600" w:hanging="360"/>
      </w:pPr>
      <w:rPr>
        <w:rFonts w:ascii="Courier New" w:hAnsi="Courier New" w:hint="default"/>
      </w:rPr>
    </w:lvl>
    <w:lvl w:ilvl="5" w:tplc="8EDC18F2">
      <w:start w:val="1"/>
      <w:numFmt w:val="bullet"/>
      <w:lvlText w:val=""/>
      <w:lvlJc w:val="left"/>
      <w:pPr>
        <w:ind w:left="4320" w:hanging="360"/>
      </w:pPr>
      <w:rPr>
        <w:rFonts w:ascii="Wingdings" w:hAnsi="Wingdings" w:hint="default"/>
      </w:rPr>
    </w:lvl>
    <w:lvl w:ilvl="6" w:tplc="47F29598">
      <w:start w:val="1"/>
      <w:numFmt w:val="bullet"/>
      <w:lvlText w:val=""/>
      <w:lvlJc w:val="left"/>
      <w:pPr>
        <w:ind w:left="5040" w:hanging="360"/>
      </w:pPr>
      <w:rPr>
        <w:rFonts w:ascii="Symbol" w:hAnsi="Symbol" w:hint="default"/>
      </w:rPr>
    </w:lvl>
    <w:lvl w:ilvl="7" w:tplc="6F5A5C0C">
      <w:start w:val="1"/>
      <w:numFmt w:val="bullet"/>
      <w:lvlText w:val="o"/>
      <w:lvlJc w:val="left"/>
      <w:pPr>
        <w:ind w:left="5760" w:hanging="360"/>
      </w:pPr>
      <w:rPr>
        <w:rFonts w:ascii="Courier New" w:hAnsi="Courier New" w:hint="default"/>
      </w:rPr>
    </w:lvl>
    <w:lvl w:ilvl="8" w:tplc="96ACB1D0">
      <w:start w:val="1"/>
      <w:numFmt w:val="bullet"/>
      <w:lvlText w:val=""/>
      <w:lvlJc w:val="left"/>
      <w:pPr>
        <w:ind w:left="6480" w:hanging="360"/>
      </w:pPr>
      <w:rPr>
        <w:rFonts w:ascii="Wingdings" w:hAnsi="Wingdings" w:hint="default"/>
      </w:rPr>
    </w:lvl>
  </w:abstractNum>
  <w:abstractNum w:abstractNumId="2" w15:restartNumberingAfterBreak="0">
    <w:nsid w:val="2F0520FE"/>
    <w:multiLevelType w:val="hybridMultilevel"/>
    <w:tmpl w:val="C48CCE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8B305AC"/>
    <w:multiLevelType w:val="hybridMultilevel"/>
    <w:tmpl w:val="6D66393E"/>
    <w:lvl w:ilvl="0" w:tplc="4BE05E7A">
      <w:start w:val="1"/>
      <w:numFmt w:val="bullet"/>
      <w:lvlText w:val=""/>
      <w:lvlJc w:val="left"/>
      <w:pPr>
        <w:ind w:left="720" w:hanging="360"/>
      </w:pPr>
      <w:rPr>
        <w:rFonts w:ascii="Symbol" w:hAnsi="Symbol" w:hint="default"/>
      </w:rPr>
    </w:lvl>
    <w:lvl w:ilvl="1" w:tplc="DDD830CA">
      <w:start w:val="1"/>
      <w:numFmt w:val="bullet"/>
      <w:lvlText w:val="o"/>
      <w:lvlJc w:val="left"/>
      <w:pPr>
        <w:ind w:left="1440" w:hanging="360"/>
      </w:pPr>
      <w:rPr>
        <w:rFonts w:ascii="Courier New" w:hAnsi="Courier New" w:hint="default"/>
      </w:rPr>
    </w:lvl>
    <w:lvl w:ilvl="2" w:tplc="45A4F9FC">
      <w:start w:val="1"/>
      <w:numFmt w:val="bullet"/>
      <w:lvlText w:val=""/>
      <w:lvlJc w:val="left"/>
      <w:pPr>
        <w:ind w:left="2160" w:hanging="360"/>
      </w:pPr>
      <w:rPr>
        <w:rFonts w:ascii="Wingdings" w:hAnsi="Wingdings" w:hint="default"/>
      </w:rPr>
    </w:lvl>
    <w:lvl w:ilvl="3" w:tplc="022496E6">
      <w:start w:val="1"/>
      <w:numFmt w:val="bullet"/>
      <w:lvlText w:val=""/>
      <w:lvlJc w:val="left"/>
      <w:pPr>
        <w:ind w:left="2880" w:hanging="360"/>
      </w:pPr>
      <w:rPr>
        <w:rFonts w:ascii="Symbol" w:hAnsi="Symbol" w:hint="default"/>
      </w:rPr>
    </w:lvl>
    <w:lvl w:ilvl="4" w:tplc="6A7E037C">
      <w:start w:val="1"/>
      <w:numFmt w:val="bullet"/>
      <w:lvlText w:val="o"/>
      <w:lvlJc w:val="left"/>
      <w:pPr>
        <w:ind w:left="3600" w:hanging="360"/>
      </w:pPr>
      <w:rPr>
        <w:rFonts w:ascii="Courier New" w:hAnsi="Courier New" w:hint="default"/>
      </w:rPr>
    </w:lvl>
    <w:lvl w:ilvl="5" w:tplc="2D103220">
      <w:start w:val="1"/>
      <w:numFmt w:val="bullet"/>
      <w:lvlText w:val=""/>
      <w:lvlJc w:val="left"/>
      <w:pPr>
        <w:ind w:left="4320" w:hanging="360"/>
      </w:pPr>
      <w:rPr>
        <w:rFonts w:ascii="Wingdings" w:hAnsi="Wingdings" w:hint="default"/>
      </w:rPr>
    </w:lvl>
    <w:lvl w:ilvl="6" w:tplc="5EE03A7A">
      <w:start w:val="1"/>
      <w:numFmt w:val="bullet"/>
      <w:lvlText w:val=""/>
      <w:lvlJc w:val="left"/>
      <w:pPr>
        <w:ind w:left="5040" w:hanging="360"/>
      </w:pPr>
      <w:rPr>
        <w:rFonts w:ascii="Symbol" w:hAnsi="Symbol" w:hint="default"/>
      </w:rPr>
    </w:lvl>
    <w:lvl w:ilvl="7" w:tplc="E9BC8956">
      <w:start w:val="1"/>
      <w:numFmt w:val="bullet"/>
      <w:lvlText w:val="o"/>
      <w:lvlJc w:val="left"/>
      <w:pPr>
        <w:ind w:left="5760" w:hanging="360"/>
      </w:pPr>
      <w:rPr>
        <w:rFonts w:ascii="Courier New" w:hAnsi="Courier New" w:hint="default"/>
      </w:rPr>
    </w:lvl>
    <w:lvl w:ilvl="8" w:tplc="3D30DB5E">
      <w:start w:val="1"/>
      <w:numFmt w:val="bullet"/>
      <w:lvlText w:val=""/>
      <w:lvlJc w:val="left"/>
      <w:pPr>
        <w:ind w:left="6480" w:hanging="360"/>
      </w:pPr>
      <w:rPr>
        <w:rFonts w:ascii="Wingdings" w:hAnsi="Wingdings" w:hint="default"/>
      </w:rPr>
    </w:lvl>
  </w:abstractNum>
  <w:abstractNum w:abstractNumId="4" w15:restartNumberingAfterBreak="0">
    <w:nsid w:val="39D41E21"/>
    <w:multiLevelType w:val="hybridMultilevel"/>
    <w:tmpl w:val="E8082202"/>
    <w:lvl w:ilvl="0" w:tplc="F06E3870">
      <w:start w:val="1"/>
      <w:numFmt w:val="bullet"/>
      <w:lvlText w:val=""/>
      <w:lvlJc w:val="left"/>
      <w:pPr>
        <w:ind w:left="720" w:hanging="360"/>
      </w:pPr>
      <w:rPr>
        <w:rFonts w:ascii="Symbol" w:hAnsi="Symbol" w:hint="default"/>
      </w:rPr>
    </w:lvl>
    <w:lvl w:ilvl="1" w:tplc="7548DD22">
      <w:start w:val="1"/>
      <w:numFmt w:val="bullet"/>
      <w:lvlText w:val="o"/>
      <w:lvlJc w:val="left"/>
      <w:pPr>
        <w:ind w:left="1440" w:hanging="360"/>
      </w:pPr>
      <w:rPr>
        <w:rFonts w:ascii="Courier New" w:hAnsi="Courier New" w:hint="default"/>
      </w:rPr>
    </w:lvl>
    <w:lvl w:ilvl="2" w:tplc="E31C6BBC">
      <w:start w:val="1"/>
      <w:numFmt w:val="bullet"/>
      <w:lvlText w:val=""/>
      <w:lvlJc w:val="left"/>
      <w:pPr>
        <w:ind w:left="2160" w:hanging="360"/>
      </w:pPr>
      <w:rPr>
        <w:rFonts w:ascii="Wingdings" w:hAnsi="Wingdings" w:hint="default"/>
      </w:rPr>
    </w:lvl>
    <w:lvl w:ilvl="3" w:tplc="7464A6B0">
      <w:start w:val="1"/>
      <w:numFmt w:val="bullet"/>
      <w:lvlText w:val=""/>
      <w:lvlJc w:val="left"/>
      <w:pPr>
        <w:ind w:left="2880" w:hanging="360"/>
      </w:pPr>
      <w:rPr>
        <w:rFonts w:ascii="Symbol" w:hAnsi="Symbol" w:hint="default"/>
      </w:rPr>
    </w:lvl>
    <w:lvl w:ilvl="4" w:tplc="2FAC66C6">
      <w:start w:val="1"/>
      <w:numFmt w:val="bullet"/>
      <w:lvlText w:val="o"/>
      <w:lvlJc w:val="left"/>
      <w:pPr>
        <w:ind w:left="3600" w:hanging="360"/>
      </w:pPr>
      <w:rPr>
        <w:rFonts w:ascii="Courier New" w:hAnsi="Courier New" w:hint="default"/>
      </w:rPr>
    </w:lvl>
    <w:lvl w:ilvl="5" w:tplc="2CB43FD8">
      <w:start w:val="1"/>
      <w:numFmt w:val="bullet"/>
      <w:lvlText w:val=""/>
      <w:lvlJc w:val="left"/>
      <w:pPr>
        <w:ind w:left="4320" w:hanging="360"/>
      </w:pPr>
      <w:rPr>
        <w:rFonts w:ascii="Wingdings" w:hAnsi="Wingdings" w:hint="default"/>
      </w:rPr>
    </w:lvl>
    <w:lvl w:ilvl="6" w:tplc="90881DDC">
      <w:start w:val="1"/>
      <w:numFmt w:val="bullet"/>
      <w:lvlText w:val=""/>
      <w:lvlJc w:val="left"/>
      <w:pPr>
        <w:ind w:left="5040" w:hanging="360"/>
      </w:pPr>
      <w:rPr>
        <w:rFonts w:ascii="Symbol" w:hAnsi="Symbol" w:hint="default"/>
      </w:rPr>
    </w:lvl>
    <w:lvl w:ilvl="7" w:tplc="F7168D6E">
      <w:start w:val="1"/>
      <w:numFmt w:val="bullet"/>
      <w:lvlText w:val="o"/>
      <w:lvlJc w:val="left"/>
      <w:pPr>
        <w:ind w:left="5760" w:hanging="360"/>
      </w:pPr>
      <w:rPr>
        <w:rFonts w:ascii="Courier New" w:hAnsi="Courier New" w:hint="default"/>
      </w:rPr>
    </w:lvl>
    <w:lvl w:ilvl="8" w:tplc="5600CE08">
      <w:start w:val="1"/>
      <w:numFmt w:val="bullet"/>
      <w:lvlText w:val=""/>
      <w:lvlJc w:val="left"/>
      <w:pPr>
        <w:ind w:left="6480" w:hanging="360"/>
      </w:pPr>
      <w:rPr>
        <w:rFonts w:ascii="Wingdings" w:hAnsi="Wingdings" w:hint="default"/>
      </w:rPr>
    </w:lvl>
  </w:abstractNum>
  <w:abstractNum w:abstractNumId="5" w15:restartNumberingAfterBreak="0">
    <w:nsid w:val="41F266B9"/>
    <w:multiLevelType w:val="hybridMultilevel"/>
    <w:tmpl w:val="DEBAFEA8"/>
    <w:lvl w:ilvl="0" w:tplc="0010E69C">
      <w:start w:val="1"/>
      <w:numFmt w:val="bullet"/>
      <w:lvlText w:val=""/>
      <w:lvlJc w:val="left"/>
      <w:pPr>
        <w:ind w:left="720" w:hanging="360"/>
      </w:pPr>
      <w:rPr>
        <w:rFonts w:ascii="Symbol" w:hAnsi="Symbol" w:hint="default"/>
      </w:rPr>
    </w:lvl>
    <w:lvl w:ilvl="1" w:tplc="8730CB5A">
      <w:start w:val="1"/>
      <w:numFmt w:val="bullet"/>
      <w:lvlText w:val="o"/>
      <w:lvlJc w:val="left"/>
      <w:pPr>
        <w:ind w:left="1440" w:hanging="360"/>
      </w:pPr>
      <w:rPr>
        <w:rFonts w:ascii="Courier New" w:hAnsi="Courier New" w:hint="default"/>
      </w:rPr>
    </w:lvl>
    <w:lvl w:ilvl="2" w:tplc="B9326738">
      <w:start w:val="1"/>
      <w:numFmt w:val="bullet"/>
      <w:lvlText w:val=""/>
      <w:lvlJc w:val="left"/>
      <w:pPr>
        <w:ind w:left="2160" w:hanging="360"/>
      </w:pPr>
      <w:rPr>
        <w:rFonts w:ascii="Wingdings" w:hAnsi="Wingdings" w:hint="default"/>
      </w:rPr>
    </w:lvl>
    <w:lvl w:ilvl="3" w:tplc="67E2EABE">
      <w:start w:val="1"/>
      <w:numFmt w:val="bullet"/>
      <w:lvlText w:val=""/>
      <w:lvlJc w:val="left"/>
      <w:pPr>
        <w:ind w:left="2880" w:hanging="360"/>
      </w:pPr>
      <w:rPr>
        <w:rFonts w:ascii="Symbol" w:hAnsi="Symbol" w:hint="default"/>
      </w:rPr>
    </w:lvl>
    <w:lvl w:ilvl="4" w:tplc="39803D9E">
      <w:start w:val="1"/>
      <w:numFmt w:val="bullet"/>
      <w:lvlText w:val="o"/>
      <w:lvlJc w:val="left"/>
      <w:pPr>
        <w:ind w:left="3600" w:hanging="360"/>
      </w:pPr>
      <w:rPr>
        <w:rFonts w:ascii="Courier New" w:hAnsi="Courier New" w:hint="default"/>
      </w:rPr>
    </w:lvl>
    <w:lvl w:ilvl="5" w:tplc="427609F8">
      <w:start w:val="1"/>
      <w:numFmt w:val="bullet"/>
      <w:lvlText w:val=""/>
      <w:lvlJc w:val="left"/>
      <w:pPr>
        <w:ind w:left="4320" w:hanging="360"/>
      </w:pPr>
      <w:rPr>
        <w:rFonts w:ascii="Wingdings" w:hAnsi="Wingdings" w:hint="default"/>
      </w:rPr>
    </w:lvl>
    <w:lvl w:ilvl="6" w:tplc="E42AA74A">
      <w:start w:val="1"/>
      <w:numFmt w:val="bullet"/>
      <w:lvlText w:val=""/>
      <w:lvlJc w:val="left"/>
      <w:pPr>
        <w:ind w:left="5040" w:hanging="360"/>
      </w:pPr>
      <w:rPr>
        <w:rFonts w:ascii="Symbol" w:hAnsi="Symbol" w:hint="default"/>
      </w:rPr>
    </w:lvl>
    <w:lvl w:ilvl="7" w:tplc="7474F9A0">
      <w:start w:val="1"/>
      <w:numFmt w:val="bullet"/>
      <w:lvlText w:val="o"/>
      <w:lvlJc w:val="left"/>
      <w:pPr>
        <w:ind w:left="5760" w:hanging="360"/>
      </w:pPr>
      <w:rPr>
        <w:rFonts w:ascii="Courier New" w:hAnsi="Courier New" w:hint="default"/>
      </w:rPr>
    </w:lvl>
    <w:lvl w:ilvl="8" w:tplc="25B26350">
      <w:start w:val="1"/>
      <w:numFmt w:val="bullet"/>
      <w:lvlText w:val=""/>
      <w:lvlJc w:val="left"/>
      <w:pPr>
        <w:ind w:left="6480" w:hanging="360"/>
      </w:pPr>
      <w:rPr>
        <w:rFonts w:ascii="Wingdings" w:hAnsi="Wingdings" w:hint="default"/>
      </w:rPr>
    </w:lvl>
  </w:abstractNum>
  <w:abstractNum w:abstractNumId="6" w15:restartNumberingAfterBreak="0">
    <w:nsid w:val="504946D8"/>
    <w:multiLevelType w:val="hybridMultilevel"/>
    <w:tmpl w:val="3FAE5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75360DB"/>
    <w:multiLevelType w:val="multilevel"/>
    <w:tmpl w:val="4B64A9C6"/>
    <w:lvl w:ilvl="0">
      <w:start w:val="1"/>
      <w:numFmt w:val="decimal"/>
      <w:lvlText w:val="%1."/>
      <w:lvlJc w:val="left"/>
      <w:pPr>
        <w:ind w:left="360" w:hanging="360"/>
      </w:pPr>
      <w:rPr>
        <w:rFonts w:hint="default"/>
        <w:lang w:val="en-G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4820486">
    <w:abstractNumId w:val="5"/>
  </w:num>
  <w:num w:numId="2" w16cid:durableId="2025785203">
    <w:abstractNumId w:val="4"/>
  </w:num>
  <w:num w:numId="3" w16cid:durableId="2079087322">
    <w:abstractNumId w:val="3"/>
  </w:num>
  <w:num w:numId="4" w16cid:durableId="620649873">
    <w:abstractNumId w:val="1"/>
  </w:num>
  <w:num w:numId="5" w16cid:durableId="1143500807">
    <w:abstractNumId w:val="7"/>
  </w:num>
  <w:num w:numId="6" w16cid:durableId="175390892">
    <w:abstractNumId w:val="0"/>
  </w:num>
  <w:num w:numId="7" w16cid:durableId="1301228851">
    <w:abstractNumId w:val="6"/>
  </w:num>
  <w:num w:numId="8" w16cid:durableId="84432630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12"/>
    <w:rsid w:val="00005391"/>
    <w:rsid w:val="00010E76"/>
    <w:rsid w:val="00013D3E"/>
    <w:rsid w:val="000146F3"/>
    <w:rsid w:val="00017829"/>
    <w:rsid w:val="00022A21"/>
    <w:rsid w:val="0002314A"/>
    <w:rsid w:val="00026648"/>
    <w:rsid w:val="00033425"/>
    <w:rsid w:val="00036E47"/>
    <w:rsid w:val="00040612"/>
    <w:rsid w:val="00040E33"/>
    <w:rsid w:val="00040EE4"/>
    <w:rsid w:val="00043CA3"/>
    <w:rsid w:val="000464D5"/>
    <w:rsid w:val="00052478"/>
    <w:rsid w:val="000546DE"/>
    <w:rsid w:val="0005631D"/>
    <w:rsid w:val="00056795"/>
    <w:rsid w:val="00066BB2"/>
    <w:rsid w:val="0007081B"/>
    <w:rsid w:val="00071C06"/>
    <w:rsid w:val="00072117"/>
    <w:rsid w:val="000740E6"/>
    <w:rsid w:val="000771D2"/>
    <w:rsid w:val="00081E20"/>
    <w:rsid w:val="000821CB"/>
    <w:rsid w:val="000869B3"/>
    <w:rsid w:val="0009090F"/>
    <w:rsid w:val="00094A8C"/>
    <w:rsid w:val="00097249"/>
    <w:rsid w:val="000A5CF5"/>
    <w:rsid w:val="000A60A3"/>
    <w:rsid w:val="000B5212"/>
    <w:rsid w:val="000C210C"/>
    <w:rsid w:val="000C43D4"/>
    <w:rsid w:val="000C536F"/>
    <w:rsid w:val="000D1E71"/>
    <w:rsid w:val="000D421D"/>
    <w:rsid w:val="000D518C"/>
    <w:rsid w:val="000D7B9E"/>
    <w:rsid w:val="000E124A"/>
    <w:rsid w:val="000E16F3"/>
    <w:rsid w:val="000E19EC"/>
    <w:rsid w:val="000E3C86"/>
    <w:rsid w:val="000E3F28"/>
    <w:rsid w:val="000E4733"/>
    <w:rsid w:val="000E4B09"/>
    <w:rsid w:val="000E55B5"/>
    <w:rsid w:val="000E691F"/>
    <w:rsid w:val="000F4017"/>
    <w:rsid w:val="000F4FDE"/>
    <w:rsid w:val="00103506"/>
    <w:rsid w:val="00106AAE"/>
    <w:rsid w:val="001104BA"/>
    <w:rsid w:val="00113D3E"/>
    <w:rsid w:val="0012709C"/>
    <w:rsid w:val="00131502"/>
    <w:rsid w:val="00131EC8"/>
    <w:rsid w:val="00140A30"/>
    <w:rsid w:val="00140F0A"/>
    <w:rsid w:val="00145513"/>
    <w:rsid w:val="00151033"/>
    <w:rsid w:val="00151BE4"/>
    <w:rsid w:val="00155CB7"/>
    <w:rsid w:val="00157D99"/>
    <w:rsid w:val="0016544C"/>
    <w:rsid w:val="00166874"/>
    <w:rsid w:val="0016729E"/>
    <w:rsid w:val="001750E5"/>
    <w:rsid w:val="00176FC1"/>
    <w:rsid w:val="00177CBE"/>
    <w:rsid w:val="00180B21"/>
    <w:rsid w:val="0018192C"/>
    <w:rsid w:val="00185B9B"/>
    <w:rsid w:val="00187E3D"/>
    <w:rsid w:val="0019487D"/>
    <w:rsid w:val="00195699"/>
    <w:rsid w:val="001A1104"/>
    <w:rsid w:val="001A22A5"/>
    <w:rsid w:val="001A3910"/>
    <w:rsid w:val="001B084D"/>
    <w:rsid w:val="001B0857"/>
    <w:rsid w:val="001B291B"/>
    <w:rsid w:val="001B49BB"/>
    <w:rsid w:val="001C1307"/>
    <w:rsid w:val="001C14EF"/>
    <w:rsid w:val="001C3C88"/>
    <w:rsid w:val="001C4288"/>
    <w:rsid w:val="001D4977"/>
    <w:rsid w:val="001E4A2E"/>
    <w:rsid w:val="001E6049"/>
    <w:rsid w:val="001F1D41"/>
    <w:rsid w:val="001F4C02"/>
    <w:rsid w:val="001F57F6"/>
    <w:rsid w:val="001F6405"/>
    <w:rsid w:val="001F7E82"/>
    <w:rsid w:val="00203C4A"/>
    <w:rsid w:val="00205013"/>
    <w:rsid w:val="00211556"/>
    <w:rsid w:val="002138CB"/>
    <w:rsid w:val="00215672"/>
    <w:rsid w:val="00216D54"/>
    <w:rsid w:val="00223C4D"/>
    <w:rsid w:val="00226B52"/>
    <w:rsid w:val="002419DD"/>
    <w:rsid w:val="002430F1"/>
    <w:rsid w:val="002477D3"/>
    <w:rsid w:val="00261435"/>
    <w:rsid w:val="00262312"/>
    <w:rsid w:val="002671D7"/>
    <w:rsid w:val="002671E1"/>
    <w:rsid w:val="002706DE"/>
    <w:rsid w:val="0027579B"/>
    <w:rsid w:val="002768AF"/>
    <w:rsid w:val="0029075F"/>
    <w:rsid w:val="0029291D"/>
    <w:rsid w:val="0029321B"/>
    <w:rsid w:val="002936B5"/>
    <w:rsid w:val="00293E0A"/>
    <w:rsid w:val="002A2628"/>
    <w:rsid w:val="002A2997"/>
    <w:rsid w:val="002A3328"/>
    <w:rsid w:val="002A477B"/>
    <w:rsid w:val="002A47F0"/>
    <w:rsid w:val="002A634F"/>
    <w:rsid w:val="002A7780"/>
    <w:rsid w:val="002B0AFC"/>
    <w:rsid w:val="002B0E32"/>
    <w:rsid w:val="002B348C"/>
    <w:rsid w:val="002B379D"/>
    <w:rsid w:val="002B50FC"/>
    <w:rsid w:val="002C3156"/>
    <w:rsid w:val="002C4D5B"/>
    <w:rsid w:val="002D04C4"/>
    <w:rsid w:val="002D3569"/>
    <w:rsid w:val="002D69EC"/>
    <w:rsid w:val="002E3DAB"/>
    <w:rsid w:val="002E69DF"/>
    <w:rsid w:val="002F03A0"/>
    <w:rsid w:val="002F3A88"/>
    <w:rsid w:val="00302527"/>
    <w:rsid w:val="00312824"/>
    <w:rsid w:val="00313579"/>
    <w:rsid w:val="00313EAA"/>
    <w:rsid w:val="00317A44"/>
    <w:rsid w:val="00323A61"/>
    <w:rsid w:val="00324623"/>
    <w:rsid w:val="00327911"/>
    <w:rsid w:val="0032797C"/>
    <w:rsid w:val="00327A8A"/>
    <w:rsid w:val="0033608B"/>
    <w:rsid w:val="00346C57"/>
    <w:rsid w:val="003511C8"/>
    <w:rsid w:val="0035478B"/>
    <w:rsid w:val="00364198"/>
    <w:rsid w:val="00370993"/>
    <w:rsid w:val="003738ED"/>
    <w:rsid w:val="00383A75"/>
    <w:rsid w:val="00384FA9"/>
    <w:rsid w:val="0039102F"/>
    <w:rsid w:val="0039331C"/>
    <w:rsid w:val="003968A7"/>
    <w:rsid w:val="0039741C"/>
    <w:rsid w:val="003A3958"/>
    <w:rsid w:val="003B2CDB"/>
    <w:rsid w:val="003C022C"/>
    <w:rsid w:val="003C29E8"/>
    <w:rsid w:val="003D24F2"/>
    <w:rsid w:val="003D3684"/>
    <w:rsid w:val="003D6D0F"/>
    <w:rsid w:val="003D7770"/>
    <w:rsid w:val="003E0FE3"/>
    <w:rsid w:val="003F25BB"/>
    <w:rsid w:val="003F428F"/>
    <w:rsid w:val="003F5784"/>
    <w:rsid w:val="003F73D6"/>
    <w:rsid w:val="004067A6"/>
    <w:rsid w:val="00411C9C"/>
    <w:rsid w:val="00415C6A"/>
    <w:rsid w:val="00420851"/>
    <w:rsid w:val="00425F34"/>
    <w:rsid w:val="00453911"/>
    <w:rsid w:val="00457B54"/>
    <w:rsid w:val="00463033"/>
    <w:rsid w:val="00463671"/>
    <w:rsid w:val="00464AEE"/>
    <w:rsid w:val="0046604A"/>
    <w:rsid w:val="004665D9"/>
    <w:rsid w:val="00466CFE"/>
    <w:rsid w:val="00470598"/>
    <w:rsid w:val="00475121"/>
    <w:rsid w:val="00475A41"/>
    <w:rsid w:val="00475C64"/>
    <w:rsid w:val="00476124"/>
    <w:rsid w:val="004814FA"/>
    <w:rsid w:val="00482019"/>
    <w:rsid w:val="00486335"/>
    <w:rsid w:val="00486A5C"/>
    <w:rsid w:val="00486E42"/>
    <w:rsid w:val="00492247"/>
    <w:rsid w:val="00496867"/>
    <w:rsid w:val="00497973"/>
    <w:rsid w:val="004A4031"/>
    <w:rsid w:val="004B42A8"/>
    <w:rsid w:val="004C2AF0"/>
    <w:rsid w:val="004D30FB"/>
    <w:rsid w:val="004D5E43"/>
    <w:rsid w:val="004E0DB6"/>
    <w:rsid w:val="004E1E65"/>
    <w:rsid w:val="004E26F7"/>
    <w:rsid w:val="004F0A4C"/>
    <w:rsid w:val="004F3F81"/>
    <w:rsid w:val="004F5B5F"/>
    <w:rsid w:val="00502578"/>
    <w:rsid w:val="00502947"/>
    <w:rsid w:val="00505674"/>
    <w:rsid w:val="005061E5"/>
    <w:rsid w:val="0050787A"/>
    <w:rsid w:val="005120E0"/>
    <w:rsid w:val="00512DD4"/>
    <w:rsid w:val="00521E3A"/>
    <w:rsid w:val="0052257E"/>
    <w:rsid w:val="0052434F"/>
    <w:rsid w:val="00525170"/>
    <w:rsid w:val="005265DC"/>
    <w:rsid w:val="0055147C"/>
    <w:rsid w:val="00551EDC"/>
    <w:rsid w:val="00552296"/>
    <w:rsid w:val="00565F69"/>
    <w:rsid w:val="00570BD2"/>
    <w:rsid w:val="00581711"/>
    <w:rsid w:val="00582BC8"/>
    <w:rsid w:val="0058422F"/>
    <w:rsid w:val="00584E70"/>
    <w:rsid w:val="005857F2"/>
    <w:rsid w:val="0058616F"/>
    <w:rsid w:val="0059388E"/>
    <w:rsid w:val="00593C2E"/>
    <w:rsid w:val="00594633"/>
    <w:rsid w:val="00596DC0"/>
    <w:rsid w:val="005A16A9"/>
    <w:rsid w:val="005A27CF"/>
    <w:rsid w:val="005A4F55"/>
    <w:rsid w:val="005A59BC"/>
    <w:rsid w:val="005B57DA"/>
    <w:rsid w:val="005C3F72"/>
    <w:rsid w:val="005C4BF8"/>
    <w:rsid w:val="005C7DBE"/>
    <w:rsid w:val="005D716F"/>
    <w:rsid w:val="005E1102"/>
    <w:rsid w:val="005E2F27"/>
    <w:rsid w:val="005E6C39"/>
    <w:rsid w:val="005E702B"/>
    <w:rsid w:val="005F201D"/>
    <w:rsid w:val="005F3144"/>
    <w:rsid w:val="005F5C5B"/>
    <w:rsid w:val="00601BDB"/>
    <w:rsid w:val="00606C9B"/>
    <w:rsid w:val="00606FDD"/>
    <w:rsid w:val="0060751E"/>
    <w:rsid w:val="00613035"/>
    <w:rsid w:val="006130D6"/>
    <w:rsid w:val="00616799"/>
    <w:rsid w:val="00620E9C"/>
    <w:rsid w:val="00623470"/>
    <w:rsid w:val="00625517"/>
    <w:rsid w:val="00627067"/>
    <w:rsid w:val="00632841"/>
    <w:rsid w:val="00635B1F"/>
    <w:rsid w:val="006363FB"/>
    <w:rsid w:val="0063697B"/>
    <w:rsid w:val="00637DAE"/>
    <w:rsid w:val="00644CD3"/>
    <w:rsid w:val="00655ABE"/>
    <w:rsid w:val="006577B7"/>
    <w:rsid w:val="006619CD"/>
    <w:rsid w:val="00670AF4"/>
    <w:rsid w:val="0067202E"/>
    <w:rsid w:val="00675695"/>
    <w:rsid w:val="00675E5F"/>
    <w:rsid w:val="00691E2B"/>
    <w:rsid w:val="006A027E"/>
    <w:rsid w:val="006A1EB8"/>
    <w:rsid w:val="006A4B52"/>
    <w:rsid w:val="006B1F71"/>
    <w:rsid w:val="006B43D2"/>
    <w:rsid w:val="006B59DF"/>
    <w:rsid w:val="006C1068"/>
    <w:rsid w:val="006C4F8D"/>
    <w:rsid w:val="006C534D"/>
    <w:rsid w:val="006D5CD5"/>
    <w:rsid w:val="006D7C2A"/>
    <w:rsid w:val="006D7D8F"/>
    <w:rsid w:val="006E0394"/>
    <w:rsid w:val="006F42CD"/>
    <w:rsid w:val="00701FE0"/>
    <w:rsid w:val="007049DD"/>
    <w:rsid w:val="0070522D"/>
    <w:rsid w:val="00707CBD"/>
    <w:rsid w:val="00711390"/>
    <w:rsid w:val="00711484"/>
    <w:rsid w:val="007170CC"/>
    <w:rsid w:val="00724EA4"/>
    <w:rsid w:val="00735AC4"/>
    <w:rsid w:val="00736149"/>
    <w:rsid w:val="007419E0"/>
    <w:rsid w:val="00746344"/>
    <w:rsid w:val="007569CB"/>
    <w:rsid w:val="00756B15"/>
    <w:rsid w:val="00765FB3"/>
    <w:rsid w:val="00766AF1"/>
    <w:rsid w:val="007753A2"/>
    <w:rsid w:val="00777A9D"/>
    <w:rsid w:val="00780D85"/>
    <w:rsid w:val="00783256"/>
    <w:rsid w:val="00785748"/>
    <w:rsid w:val="007922C7"/>
    <w:rsid w:val="00797B15"/>
    <w:rsid w:val="00797D0E"/>
    <w:rsid w:val="007A14A1"/>
    <w:rsid w:val="007A2E66"/>
    <w:rsid w:val="007A3CFD"/>
    <w:rsid w:val="007A6462"/>
    <w:rsid w:val="007B2968"/>
    <w:rsid w:val="007C03EE"/>
    <w:rsid w:val="007D3BBB"/>
    <w:rsid w:val="007D54C4"/>
    <w:rsid w:val="007E42B6"/>
    <w:rsid w:val="007F0CCC"/>
    <w:rsid w:val="00802666"/>
    <w:rsid w:val="00807573"/>
    <w:rsid w:val="008104CF"/>
    <w:rsid w:val="00812216"/>
    <w:rsid w:val="0081407B"/>
    <w:rsid w:val="00817DD8"/>
    <w:rsid w:val="00824F13"/>
    <w:rsid w:val="00826789"/>
    <w:rsid w:val="0082683C"/>
    <w:rsid w:val="00827663"/>
    <w:rsid w:val="00830706"/>
    <w:rsid w:val="008312FE"/>
    <w:rsid w:val="00832EF8"/>
    <w:rsid w:val="00833C26"/>
    <w:rsid w:val="00835AD8"/>
    <w:rsid w:val="00843A51"/>
    <w:rsid w:val="00844601"/>
    <w:rsid w:val="00845546"/>
    <w:rsid w:val="00845D92"/>
    <w:rsid w:val="00852352"/>
    <w:rsid w:val="008533B5"/>
    <w:rsid w:val="008538C7"/>
    <w:rsid w:val="0086179D"/>
    <w:rsid w:val="008636DD"/>
    <w:rsid w:val="00864EE0"/>
    <w:rsid w:val="00865FDE"/>
    <w:rsid w:val="00867B02"/>
    <w:rsid w:val="00870C06"/>
    <w:rsid w:val="00874CD3"/>
    <w:rsid w:val="00877C5A"/>
    <w:rsid w:val="008840A8"/>
    <w:rsid w:val="00884510"/>
    <w:rsid w:val="00894F40"/>
    <w:rsid w:val="00895AB2"/>
    <w:rsid w:val="00896BBE"/>
    <w:rsid w:val="00896D8F"/>
    <w:rsid w:val="008A2FC0"/>
    <w:rsid w:val="008A5FEF"/>
    <w:rsid w:val="008B0B64"/>
    <w:rsid w:val="008B1605"/>
    <w:rsid w:val="008B2153"/>
    <w:rsid w:val="008B38BC"/>
    <w:rsid w:val="008C08FA"/>
    <w:rsid w:val="008C0AB5"/>
    <w:rsid w:val="008C41A5"/>
    <w:rsid w:val="008C7C10"/>
    <w:rsid w:val="008D1B04"/>
    <w:rsid w:val="008E0EE9"/>
    <w:rsid w:val="008E2EAE"/>
    <w:rsid w:val="008F0131"/>
    <w:rsid w:val="008F0B37"/>
    <w:rsid w:val="008F496F"/>
    <w:rsid w:val="00900527"/>
    <w:rsid w:val="0090306D"/>
    <w:rsid w:val="00904628"/>
    <w:rsid w:val="00905311"/>
    <w:rsid w:val="00905438"/>
    <w:rsid w:val="00906136"/>
    <w:rsid w:val="0090624F"/>
    <w:rsid w:val="009063B8"/>
    <w:rsid w:val="00912534"/>
    <w:rsid w:val="009165AD"/>
    <w:rsid w:val="00920234"/>
    <w:rsid w:val="00922E53"/>
    <w:rsid w:val="0092570C"/>
    <w:rsid w:val="009263EB"/>
    <w:rsid w:val="00937697"/>
    <w:rsid w:val="00942F09"/>
    <w:rsid w:val="00944308"/>
    <w:rsid w:val="009545C3"/>
    <w:rsid w:val="00955E56"/>
    <w:rsid w:val="0096293B"/>
    <w:rsid w:val="00965C99"/>
    <w:rsid w:val="00970046"/>
    <w:rsid w:val="00971349"/>
    <w:rsid w:val="009724DA"/>
    <w:rsid w:val="009820B5"/>
    <w:rsid w:val="00985273"/>
    <w:rsid w:val="00986FD3"/>
    <w:rsid w:val="00990D43"/>
    <w:rsid w:val="00992874"/>
    <w:rsid w:val="009938D3"/>
    <w:rsid w:val="00993C74"/>
    <w:rsid w:val="009958E8"/>
    <w:rsid w:val="009A28DF"/>
    <w:rsid w:val="009B2399"/>
    <w:rsid w:val="009B3474"/>
    <w:rsid w:val="009B3476"/>
    <w:rsid w:val="009B3BE2"/>
    <w:rsid w:val="009B43B6"/>
    <w:rsid w:val="009C4B19"/>
    <w:rsid w:val="009C71F4"/>
    <w:rsid w:val="009C7DEA"/>
    <w:rsid w:val="009D06E4"/>
    <w:rsid w:val="009D773B"/>
    <w:rsid w:val="009D7A2E"/>
    <w:rsid w:val="009D7A64"/>
    <w:rsid w:val="009E49CD"/>
    <w:rsid w:val="009E62A6"/>
    <w:rsid w:val="009E6C25"/>
    <w:rsid w:val="009E6D71"/>
    <w:rsid w:val="009F0F01"/>
    <w:rsid w:val="009F34EF"/>
    <w:rsid w:val="00A028CC"/>
    <w:rsid w:val="00A069E1"/>
    <w:rsid w:val="00A12DAE"/>
    <w:rsid w:val="00A17FF4"/>
    <w:rsid w:val="00A209B9"/>
    <w:rsid w:val="00A21F8D"/>
    <w:rsid w:val="00A2225F"/>
    <w:rsid w:val="00A257EF"/>
    <w:rsid w:val="00A30447"/>
    <w:rsid w:val="00A34B3B"/>
    <w:rsid w:val="00A401AB"/>
    <w:rsid w:val="00A4042C"/>
    <w:rsid w:val="00A41FBA"/>
    <w:rsid w:val="00A524EE"/>
    <w:rsid w:val="00A558F4"/>
    <w:rsid w:val="00A55D3E"/>
    <w:rsid w:val="00A5615D"/>
    <w:rsid w:val="00A5739D"/>
    <w:rsid w:val="00A575D7"/>
    <w:rsid w:val="00A65A79"/>
    <w:rsid w:val="00A813DB"/>
    <w:rsid w:val="00A84219"/>
    <w:rsid w:val="00A93FEA"/>
    <w:rsid w:val="00A94E5E"/>
    <w:rsid w:val="00AA38B1"/>
    <w:rsid w:val="00AA7FD0"/>
    <w:rsid w:val="00AB5E17"/>
    <w:rsid w:val="00AC0959"/>
    <w:rsid w:val="00AC0BC6"/>
    <w:rsid w:val="00AC4359"/>
    <w:rsid w:val="00AC6752"/>
    <w:rsid w:val="00AC6E62"/>
    <w:rsid w:val="00AC759E"/>
    <w:rsid w:val="00AD2DC1"/>
    <w:rsid w:val="00AD4FDD"/>
    <w:rsid w:val="00AD76E4"/>
    <w:rsid w:val="00AE25D5"/>
    <w:rsid w:val="00AF0A26"/>
    <w:rsid w:val="00AF1782"/>
    <w:rsid w:val="00AF6364"/>
    <w:rsid w:val="00B027C8"/>
    <w:rsid w:val="00B06E54"/>
    <w:rsid w:val="00B0775C"/>
    <w:rsid w:val="00B144D3"/>
    <w:rsid w:val="00B202FC"/>
    <w:rsid w:val="00B2198B"/>
    <w:rsid w:val="00B25BC1"/>
    <w:rsid w:val="00B262D3"/>
    <w:rsid w:val="00B36641"/>
    <w:rsid w:val="00B413A1"/>
    <w:rsid w:val="00B4318E"/>
    <w:rsid w:val="00B46D8C"/>
    <w:rsid w:val="00B4774E"/>
    <w:rsid w:val="00B47DFF"/>
    <w:rsid w:val="00B60FFF"/>
    <w:rsid w:val="00B70B12"/>
    <w:rsid w:val="00B71238"/>
    <w:rsid w:val="00B77051"/>
    <w:rsid w:val="00B77E95"/>
    <w:rsid w:val="00B92A27"/>
    <w:rsid w:val="00B9302A"/>
    <w:rsid w:val="00B97A25"/>
    <w:rsid w:val="00BA2B02"/>
    <w:rsid w:val="00BA4FDF"/>
    <w:rsid w:val="00BA5D9A"/>
    <w:rsid w:val="00BA63E8"/>
    <w:rsid w:val="00BF1978"/>
    <w:rsid w:val="00C009C2"/>
    <w:rsid w:val="00C01552"/>
    <w:rsid w:val="00C02063"/>
    <w:rsid w:val="00C04958"/>
    <w:rsid w:val="00C16EC4"/>
    <w:rsid w:val="00C17F4F"/>
    <w:rsid w:val="00C17FE1"/>
    <w:rsid w:val="00C30FEA"/>
    <w:rsid w:val="00C312CB"/>
    <w:rsid w:val="00C32953"/>
    <w:rsid w:val="00C41442"/>
    <w:rsid w:val="00C45CB0"/>
    <w:rsid w:val="00C471AD"/>
    <w:rsid w:val="00C511AC"/>
    <w:rsid w:val="00C536B2"/>
    <w:rsid w:val="00C55080"/>
    <w:rsid w:val="00C73F20"/>
    <w:rsid w:val="00C776A8"/>
    <w:rsid w:val="00C81193"/>
    <w:rsid w:val="00C90D85"/>
    <w:rsid w:val="00C9544F"/>
    <w:rsid w:val="00CA0A05"/>
    <w:rsid w:val="00CA0CF3"/>
    <w:rsid w:val="00CA190F"/>
    <w:rsid w:val="00CA2AF8"/>
    <w:rsid w:val="00CA399E"/>
    <w:rsid w:val="00CB0784"/>
    <w:rsid w:val="00CB1382"/>
    <w:rsid w:val="00CB1DD2"/>
    <w:rsid w:val="00CB65D1"/>
    <w:rsid w:val="00CB774F"/>
    <w:rsid w:val="00CD2E50"/>
    <w:rsid w:val="00CD3ACF"/>
    <w:rsid w:val="00CD3E28"/>
    <w:rsid w:val="00CD526D"/>
    <w:rsid w:val="00CE0760"/>
    <w:rsid w:val="00CE599F"/>
    <w:rsid w:val="00CF10E3"/>
    <w:rsid w:val="00CF2A9F"/>
    <w:rsid w:val="00CF35D1"/>
    <w:rsid w:val="00CF3707"/>
    <w:rsid w:val="00D143E4"/>
    <w:rsid w:val="00D1499F"/>
    <w:rsid w:val="00D16B97"/>
    <w:rsid w:val="00D2121F"/>
    <w:rsid w:val="00D27021"/>
    <w:rsid w:val="00D2768A"/>
    <w:rsid w:val="00D31F48"/>
    <w:rsid w:val="00D40B83"/>
    <w:rsid w:val="00D43B9E"/>
    <w:rsid w:val="00D45FE3"/>
    <w:rsid w:val="00D50D8E"/>
    <w:rsid w:val="00D56B37"/>
    <w:rsid w:val="00D5781E"/>
    <w:rsid w:val="00D6359F"/>
    <w:rsid w:val="00D6581C"/>
    <w:rsid w:val="00D65C9E"/>
    <w:rsid w:val="00D6626E"/>
    <w:rsid w:val="00D72830"/>
    <w:rsid w:val="00D75F25"/>
    <w:rsid w:val="00D806B7"/>
    <w:rsid w:val="00D818EF"/>
    <w:rsid w:val="00D8568E"/>
    <w:rsid w:val="00D945DF"/>
    <w:rsid w:val="00D953CA"/>
    <w:rsid w:val="00DA3826"/>
    <w:rsid w:val="00DB2AA3"/>
    <w:rsid w:val="00DB3C62"/>
    <w:rsid w:val="00DB6EF0"/>
    <w:rsid w:val="00DC28A7"/>
    <w:rsid w:val="00DC35E3"/>
    <w:rsid w:val="00DC37DA"/>
    <w:rsid w:val="00DC56BE"/>
    <w:rsid w:val="00DD14DA"/>
    <w:rsid w:val="00DD27CB"/>
    <w:rsid w:val="00DD5AC1"/>
    <w:rsid w:val="00DD6E66"/>
    <w:rsid w:val="00DE1512"/>
    <w:rsid w:val="00DF4F39"/>
    <w:rsid w:val="00E004F0"/>
    <w:rsid w:val="00E00EEF"/>
    <w:rsid w:val="00E02AA5"/>
    <w:rsid w:val="00E05324"/>
    <w:rsid w:val="00E248F3"/>
    <w:rsid w:val="00E40196"/>
    <w:rsid w:val="00E40745"/>
    <w:rsid w:val="00E429DA"/>
    <w:rsid w:val="00E46B76"/>
    <w:rsid w:val="00E50670"/>
    <w:rsid w:val="00E54A08"/>
    <w:rsid w:val="00E54FD8"/>
    <w:rsid w:val="00E61553"/>
    <w:rsid w:val="00E706EC"/>
    <w:rsid w:val="00E845E4"/>
    <w:rsid w:val="00E84D1D"/>
    <w:rsid w:val="00E86B0F"/>
    <w:rsid w:val="00E879E5"/>
    <w:rsid w:val="00E92640"/>
    <w:rsid w:val="00E966CB"/>
    <w:rsid w:val="00EA03BD"/>
    <w:rsid w:val="00EA06E6"/>
    <w:rsid w:val="00EA443F"/>
    <w:rsid w:val="00EB71EC"/>
    <w:rsid w:val="00ED186C"/>
    <w:rsid w:val="00EE12DA"/>
    <w:rsid w:val="00EE2AF0"/>
    <w:rsid w:val="00EE4B39"/>
    <w:rsid w:val="00EF1BC6"/>
    <w:rsid w:val="00F039AC"/>
    <w:rsid w:val="00F061DC"/>
    <w:rsid w:val="00F1239C"/>
    <w:rsid w:val="00F13978"/>
    <w:rsid w:val="00F174FE"/>
    <w:rsid w:val="00F203E9"/>
    <w:rsid w:val="00F2190C"/>
    <w:rsid w:val="00F22093"/>
    <w:rsid w:val="00F22F01"/>
    <w:rsid w:val="00F3280A"/>
    <w:rsid w:val="00F40307"/>
    <w:rsid w:val="00F42C8B"/>
    <w:rsid w:val="00F43C9F"/>
    <w:rsid w:val="00F52067"/>
    <w:rsid w:val="00F55874"/>
    <w:rsid w:val="00F63B9A"/>
    <w:rsid w:val="00F64287"/>
    <w:rsid w:val="00F66D4B"/>
    <w:rsid w:val="00F709E9"/>
    <w:rsid w:val="00F71494"/>
    <w:rsid w:val="00F722D7"/>
    <w:rsid w:val="00F731AD"/>
    <w:rsid w:val="00F74392"/>
    <w:rsid w:val="00F835B0"/>
    <w:rsid w:val="00F8502D"/>
    <w:rsid w:val="00F85843"/>
    <w:rsid w:val="00F8789B"/>
    <w:rsid w:val="00F87E02"/>
    <w:rsid w:val="00F917A1"/>
    <w:rsid w:val="00F94194"/>
    <w:rsid w:val="00FA092E"/>
    <w:rsid w:val="00FA0E1A"/>
    <w:rsid w:val="00FA68F1"/>
    <w:rsid w:val="00FA7F01"/>
    <w:rsid w:val="00FB04CE"/>
    <w:rsid w:val="00FB21AD"/>
    <w:rsid w:val="00FB52A9"/>
    <w:rsid w:val="00FB7C6D"/>
    <w:rsid w:val="00FC08E9"/>
    <w:rsid w:val="00FC2239"/>
    <w:rsid w:val="00FE03A6"/>
    <w:rsid w:val="00FE7273"/>
    <w:rsid w:val="00FF1960"/>
    <w:rsid w:val="02184AB9"/>
    <w:rsid w:val="045FB7AC"/>
    <w:rsid w:val="079C3F85"/>
    <w:rsid w:val="0951ACA3"/>
    <w:rsid w:val="0CEC5526"/>
    <w:rsid w:val="100094AF"/>
    <w:rsid w:val="14350250"/>
    <w:rsid w:val="19087373"/>
    <w:rsid w:val="20B49CBE"/>
    <w:rsid w:val="219CF522"/>
    <w:rsid w:val="29F931D3"/>
    <w:rsid w:val="2A08746C"/>
    <w:rsid w:val="2F160324"/>
    <w:rsid w:val="32BB414F"/>
    <w:rsid w:val="3648CFCA"/>
    <w:rsid w:val="3787AFCF"/>
    <w:rsid w:val="37EBC26D"/>
    <w:rsid w:val="398792CE"/>
    <w:rsid w:val="3BFDFD49"/>
    <w:rsid w:val="3D22389B"/>
    <w:rsid w:val="423197A1"/>
    <w:rsid w:val="46A2ED69"/>
    <w:rsid w:val="47BAB15A"/>
    <w:rsid w:val="4A712EEC"/>
    <w:rsid w:val="4D6507AF"/>
    <w:rsid w:val="52FDF84A"/>
    <w:rsid w:val="53CE384F"/>
    <w:rsid w:val="550BAD05"/>
    <w:rsid w:val="5521167D"/>
    <w:rsid w:val="5913BA7A"/>
    <w:rsid w:val="5B8399AC"/>
    <w:rsid w:val="5C09FABA"/>
    <w:rsid w:val="5C0C8B31"/>
    <w:rsid w:val="5EA73665"/>
    <w:rsid w:val="6044A108"/>
    <w:rsid w:val="65115395"/>
    <w:rsid w:val="688CBC56"/>
    <w:rsid w:val="699878B6"/>
    <w:rsid w:val="6F530747"/>
    <w:rsid w:val="6FEE91DD"/>
    <w:rsid w:val="72631FCF"/>
    <w:rsid w:val="72943C25"/>
    <w:rsid w:val="765DD361"/>
    <w:rsid w:val="799D61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117A3"/>
  <w15:docId w15:val="{7227E438-4F83-4D96-A4A8-501FC082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CF1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12"/>
  </w:style>
  <w:style w:type="paragraph" w:styleId="Footer">
    <w:name w:val="footer"/>
    <w:basedOn w:val="Normal"/>
    <w:link w:val="FooterChar"/>
    <w:uiPriority w:val="99"/>
    <w:unhideWhenUsed/>
    <w:rsid w:val="00B70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12"/>
  </w:style>
  <w:style w:type="character" w:styleId="Hyperlink">
    <w:name w:val="Hyperlink"/>
    <w:basedOn w:val="DefaultParagraphFont"/>
    <w:rsid w:val="00B70B12"/>
    <w:rPr>
      <w:color w:val="0000FF"/>
      <w:u w:val="single"/>
    </w:rPr>
  </w:style>
  <w:style w:type="character" w:customStyle="1" w:styleId="highlight">
    <w:name w:val="highlight"/>
    <w:basedOn w:val="DefaultParagraphFont"/>
    <w:rsid w:val="00606FDD"/>
  </w:style>
  <w:style w:type="paragraph" w:styleId="BalloonText">
    <w:name w:val="Balloon Text"/>
    <w:basedOn w:val="Normal"/>
    <w:link w:val="BalloonTextChar"/>
    <w:uiPriority w:val="99"/>
    <w:semiHidden/>
    <w:unhideWhenUsed/>
    <w:rsid w:val="00F22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093"/>
    <w:rPr>
      <w:rFonts w:ascii="Segoe UI" w:hAnsi="Segoe UI" w:cs="Segoe UI"/>
      <w:sz w:val="18"/>
      <w:szCs w:val="18"/>
    </w:rPr>
  </w:style>
  <w:style w:type="paragraph" w:styleId="ListParagraph">
    <w:name w:val="List Paragraph"/>
    <w:basedOn w:val="Normal"/>
    <w:uiPriority w:val="34"/>
    <w:qFormat/>
    <w:rsid w:val="00A028CC"/>
    <w:pPr>
      <w:suppressAutoHyphens/>
      <w:autoSpaceDN w:val="0"/>
      <w:spacing w:after="160" w:line="256" w:lineRule="auto"/>
      <w:ind w:left="720"/>
      <w:textAlignment w:val="baseline"/>
    </w:pPr>
    <w:rPr>
      <w:rFonts w:ascii="Calibri" w:eastAsia="Calibri" w:hAnsi="Calibri" w:cs="Times New Roman"/>
    </w:rPr>
  </w:style>
  <w:style w:type="paragraph" w:styleId="FootnoteText">
    <w:name w:val="footnote text"/>
    <w:basedOn w:val="Normal"/>
    <w:link w:val="FootnoteTextChar"/>
    <w:uiPriority w:val="99"/>
    <w:unhideWhenUsed/>
    <w:rsid w:val="00261435"/>
    <w:pPr>
      <w:spacing w:after="0" w:line="240" w:lineRule="auto"/>
    </w:pPr>
    <w:rPr>
      <w:sz w:val="20"/>
      <w:szCs w:val="20"/>
    </w:rPr>
  </w:style>
  <w:style w:type="character" w:customStyle="1" w:styleId="FootnoteTextChar">
    <w:name w:val="Footnote Text Char"/>
    <w:basedOn w:val="DefaultParagraphFont"/>
    <w:link w:val="FootnoteText"/>
    <w:uiPriority w:val="99"/>
    <w:rsid w:val="00261435"/>
    <w:rPr>
      <w:sz w:val="20"/>
      <w:szCs w:val="20"/>
    </w:rPr>
  </w:style>
  <w:style w:type="character" w:styleId="FootnoteReference">
    <w:name w:val="footnote reference"/>
    <w:basedOn w:val="DefaultParagraphFont"/>
    <w:uiPriority w:val="99"/>
    <w:semiHidden/>
    <w:unhideWhenUsed/>
    <w:rsid w:val="00261435"/>
    <w:rPr>
      <w:vertAlign w:val="superscript"/>
    </w:rPr>
  </w:style>
  <w:style w:type="paragraph" w:styleId="NormalWeb">
    <w:name w:val="Normal (Web)"/>
    <w:basedOn w:val="Normal"/>
    <w:uiPriority w:val="99"/>
    <w:unhideWhenUsed/>
    <w:rsid w:val="00CF1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CF10E3"/>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CF10E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F7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1A22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F42C8B"/>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42C8B"/>
  </w:style>
  <w:style w:type="character" w:customStyle="1" w:styleId="Hyperlink2">
    <w:name w:val="Hyperlink.2"/>
    <w:basedOn w:val="DefaultParagraphFont"/>
    <w:rsid w:val="00F42C8B"/>
    <w:rPr>
      <w:color w:val="0000FF"/>
      <w:u w:val="single" w:color="0000FF"/>
    </w:rPr>
  </w:style>
  <w:style w:type="character" w:styleId="CommentReference">
    <w:name w:val="annotation reference"/>
    <w:basedOn w:val="DefaultParagraphFont"/>
    <w:uiPriority w:val="99"/>
    <w:semiHidden/>
    <w:unhideWhenUsed/>
    <w:rsid w:val="00F42C8B"/>
    <w:rPr>
      <w:sz w:val="16"/>
      <w:szCs w:val="16"/>
    </w:rPr>
  </w:style>
  <w:style w:type="paragraph" w:styleId="CommentText">
    <w:name w:val="annotation text"/>
    <w:basedOn w:val="Normal"/>
    <w:link w:val="CommentTextChar"/>
    <w:uiPriority w:val="99"/>
    <w:semiHidden/>
    <w:unhideWhenUsed/>
    <w:rsid w:val="00F42C8B"/>
    <w:pPr>
      <w:spacing w:line="240" w:lineRule="auto"/>
    </w:pPr>
    <w:rPr>
      <w:sz w:val="20"/>
      <w:szCs w:val="20"/>
    </w:rPr>
  </w:style>
  <w:style w:type="character" w:customStyle="1" w:styleId="CommentTextChar">
    <w:name w:val="Comment Text Char"/>
    <w:basedOn w:val="DefaultParagraphFont"/>
    <w:link w:val="CommentText"/>
    <w:uiPriority w:val="99"/>
    <w:semiHidden/>
    <w:rsid w:val="00F42C8B"/>
    <w:rPr>
      <w:sz w:val="20"/>
      <w:szCs w:val="20"/>
    </w:rPr>
  </w:style>
  <w:style w:type="paragraph" w:customStyle="1" w:styleId="BodyAA">
    <w:name w:val="Body A A"/>
    <w:rsid w:val="009938D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nl-NL" w:eastAsia="en-GB"/>
    </w:rPr>
  </w:style>
  <w:style w:type="paragraph" w:customStyle="1" w:styleId="BodyC">
    <w:name w:val="Body C"/>
    <w:basedOn w:val="Normal"/>
    <w:rsid w:val="005F5C5B"/>
    <w:pPr>
      <w:spacing w:after="0" w:line="240" w:lineRule="auto"/>
    </w:pPr>
    <w:rPr>
      <w:rFonts w:ascii="Times New Roman" w:hAnsi="Times New Roman" w:cs="Times New Roman"/>
      <w:color w:val="000000"/>
      <w:sz w:val="24"/>
      <w:szCs w:val="24"/>
      <w:lang w:val="fr-BE" w:eastAsia="fr-BE"/>
    </w:rPr>
  </w:style>
  <w:style w:type="paragraph" w:styleId="CommentSubject">
    <w:name w:val="annotation subject"/>
    <w:basedOn w:val="CommentText"/>
    <w:next w:val="CommentText"/>
    <w:link w:val="CommentSubjectChar"/>
    <w:uiPriority w:val="99"/>
    <w:semiHidden/>
    <w:unhideWhenUsed/>
    <w:rsid w:val="00A2225F"/>
    <w:rPr>
      <w:b/>
      <w:bCs/>
    </w:rPr>
  </w:style>
  <w:style w:type="character" w:customStyle="1" w:styleId="CommentSubjectChar">
    <w:name w:val="Comment Subject Char"/>
    <w:basedOn w:val="CommentTextChar"/>
    <w:link w:val="CommentSubject"/>
    <w:uiPriority w:val="99"/>
    <w:semiHidden/>
    <w:rsid w:val="00A2225F"/>
    <w:rPr>
      <w:b/>
      <w:bCs/>
      <w:sz w:val="20"/>
      <w:szCs w:val="20"/>
    </w:rPr>
  </w:style>
  <w:style w:type="character" w:customStyle="1" w:styleId="Mentionnonrsolue1">
    <w:name w:val="Mention non résolue1"/>
    <w:basedOn w:val="DefaultParagraphFont"/>
    <w:uiPriority w:val="99"/>
    <w:semiHidden/>
    <w:unhideWhenUsed/>
    <w:rsid w:val="002B50FC"/>
    <w:rPr>
      <w:color w:val="605E5C"/>
      <w:shd w:val="clear" w:color="auto" w:fill="E1DFDD"/>
    </w:rPr>
  </w:style>
  <w:style w:type="character" w:styleId="FollowedHyperlink">
    <w:name w:val="FollowedHyperlink"/>
    <w:basedOn w:val="DefaultParagraphFont"/>
    <w:uiPriority w:val="99"/>
    <w:semiHidden/>
    <w:unhideWhenUsed/>
    <w:rsid w:val="002B50FC"/>
    <w:rPr>
      <w:color w:val="800080" w:themeColor="followedHyperlink"/>
      <w:u w:val="single"/>
    </w:rPr>
  </w:style>
  <w:style w:type="character" w:styleId="UnresolvedMention">
    <w:name w:val="Unresolved Mention"/>
    <w:basedOn w:val="DefaultParagraphFont"/>
    <w:uiPriority w:val="99"/>
    <w:semiHidden/>
    <w:unhideWhenUsed/>
    <w:rsid w:val="00327A8A"/>
    <w:rPr>
      <w:color w:val="605E5C"/>
      <w:shd w:val="clear" w:color="auto" w:fill="E1DFDD"/>
    </w:rPr>
  </w:style>
  <w:style w:type="paragraph" w:styleId="EndnoteText">
    <w:name w:val="endnote text"/>
    <w:basedOn w:val="Normal"/>
    <w:link w:val="EndnoteTextChar"/>
    <w:uiPriority w:val="99"/>
    <w:semiHidden/>
    <w:unhideWhenUsed/>
    <w:rsid w:val="00AD2D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DC1"/>
    <w:rPr>
      <w:sz w:val="20"/>
      <w:szCs w:val="20"/>
    </w:rPr>
  </w:style>
  <w:style w:type="character" w:styleId="EndnoteReference">
    <w:name w:val="endnote reference"/>
    <w:basedOn w:val="DefaultParagraphFont"/>
    <w:uiPriority w:val="99"/>
    <w:semiHidden/>
    <w:unhideWhenUsed/>
    <w:rsid w:val="00AD2DC1"/>
    <w:rPr>
      <w:vertAlign w:val="superscript"/>
    </w:rPr>
  </w:style>
  <w:style w:type="paragraph" w:customStyle="1" w:styleId="Default">
    <w:name w:val="Default"/>
    <w:rsid w:val="00AD76E4"/>
    <w:pPr>
      <w:autoSpaceDE w:val="0"/>
      <w:autoSpaceDN w:val="0"/>
      <w:adjustRightInd w:val="0"/>
      <w:spacing w:after="0" w:line="240" w:lineRule="auto"/>
    </w:pPr>
    <w:rPr>
      <w:rFonts w:ascii="Arial" w:hAnsi="Arial" w:cs="Arial"/>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366">
      <w:bodyDiv w:val="1"/>
      <w:marLeft w:val="0"/>
      <w:marRight w:val="0"/>
      <w:marTop w:val="0"/>
      <w:marBottom w:val="0"/>
      <w:divBdr>
        <w:top w:val="none" w:sz="0" w:space="0" w:color="auto"/>
        <w:left w:val="none" w:sz="0" w:space="0" w:color="auto"/>
        <w:bottom w:val="none" w:sz="0" w:space="0" w:color="auto"/>
        <w:right w:val="none" w:sz="0" w:space="0" w:color="auto"/>
      </w:divBdr>
    </w:div>
    <w:div w:id="684940453">
      <w:bodyDiv w:val="1"/>
      <w:marLeft w:val="0"/>
      <w:marRight w:val="0"/>
      <w:marTop w:val="0"/>
      <w:marBottom w:val="0"/>
      <w:divBdr>
        <w:top w:val="none" w:sz="0" w:space="0" w:color="auto"/>
        <w:left w:val="none" w:sz="0" w:space="0" w:color="auto"/>
        <w:bottom w:val="none" w:sz="0" w:space="0" w:color="auto"/>
        <w:right w:val="none" w:sz="0" w:space="0" w:color="auto"/>
      </w:divBdr>
    </w:div>
    <w:div w:id="714232901">
      <w:bodyDiv w:val="1"/>
      <w:marLeft w:val="0"/>
      <w:marRight w:val="0"/>
      <w:marTop w:val="0"/>
      <w:marBottom w:val="0"/>
      <w:divBdr>
        <w:top w:val="none" w:sz="0" w:space="0" w:color="auto"/>
        <w:left w:val="none" w:sz="0" w:space="0" w:color="auto"/>
        <w:bottom w:val="none" w:sz="0" w:space="0" w:color="auto"/>
        <w:right w:val="none" w:sz="0" w:space="0" w:color="auto"/>
      </w:divBdr>
    </w:div>
    <w:div w:id="717238747">
      <w:bodyDiv w:val="1"/>
      <w:marLeft w:val="0"/>
      <w:marRight w:val="0"/>
      <w:marTop w:val="0"/>
      <w:marBottom w:val="0"/>
      <w:divBdr>
        <w:top w:val="none" w:sz="0" w:space="0" w:color="auto"/>
        <w:left w:val="none" w:sz="0" w:space="0" w:color="auto"/>
        <w:bottom w:val="none" w:sz="0" w:space="0" w:color="auto"/>
        <w:right w:val="none" w:sz="0" w:space="0" w:color="auto"/>
      </w:divBdr>
      <w:divsChild>
        <w:div w:id="1436436543">
          <w:marLeft w:val="0"/>
          <w:marRight w:val="0"/>
          <w:marTop w:val="0"/>
          <w:marBottom w:val="0"/>
          <w:divBdr>
            <w:top w:val="none" w:sz="0" w:space="0" w:color="auto"/>
            <w:left w:val="none" w:sz="0" w:space="0" w:color="auto"/>
            <w:bottom w:val="none" w:sz="0" w:space="0" w:color="auto"/>
            <w:right w:val="none" w:sz="0" w:space="0" w:color="auto"/>
          </w:divBdr>
        </w:div>
        <w:div w:id="946422756">
          <w:marLeft w:val="0"/>
          <w:marRight w:val="0"/>
          <w:marTop w:val="0"/>
          <w:marBottom w:val="0"/>
          <w:divBdr>
            <w:top w:val="none" w:sz="0" w:space="0" w:color="auto"/>
            <w:left w:val="none" w:sz="0" w:space="0" w:color="auto"/>
            <w:bottom w:val="none" w:sz="0" w:space="0" w:color="auto"/>
            <w:right w:val="none" w:sz="0" w:space="0" w:color="auto"/>
          </w:divBdr>
        </w:div>
        <w:div w:id="752899651">
          <w:marLeft w:val="0"/>
          <w:marRight w:val="0"/>
          <w:marTop w:val="0"/>
          <w:marBottom w:val="0"/>
          <w:divBdr>
            <w:top w:val="none" w:sz="0" w:space="0" w:color="auto"/>
            <w:left w:val="none" w:sz="0" w:space="0" w:color="auto"/>
            <w:bottom w:val="none" w:sz="0" w:space="0" w:color="auto"/>
            <w:right w:val="none" w:sz="0" w:space="0" w:color="auto"/>
          </w:divBdr>
        </w:div>
        <w:div w:id="1892574603">
          <w:marLeft w:val="0"/>
          <w:marRight w:val="0"/>
          <w:marTop w:val="0"/>
          <w:marBottom w:val="0"/>
          <w:divBdr>
            <w:top w:val="none" w:sz="0" w:space="0" w:color="auto"/>
            <w:left w:val="none" w:sz="0" w:space="0" w:color="auto"/>
            <w:bottom w:val="none" w:sz="0" w:space="0" w:color="auto"/>
            <w:right w:val="none" w:sz="0" w:space="0" w:color="auto"/>
          </w:divBdr>
        </w:div>
        <w:div w:id="778332367">
          <w:marLeft w:val="0"/>
          <w:marRight w:val="0"/>
          <w:marTop w:val="0"/>
          <w:marBottom w:val="0"/>
          <w:divBdr>
            <w:top w:val="none" w:sz="0" w:space="0" w:color="auto"/>
            <w:left w:val="none" w:sz="0" w:space="0" w:color="auto"/>
            <w:bottom w:val="none" w:sz="0" w:space="0" w:color="auto"/>
            <w:right w:val="none" w:sz="0" w:space="0" w:color="auto"/>
          </w:divBdr>
        </w:div>
        <w:div w:id="2039429198">
          <w:marLeft w:val="0"/>
          <w:marRight w:val="0"/>
          <w:marTop w:val="0"/>
          <w:marBottom w:val="0"/>
          <w:divBdr>
            <w:top w:val="none" w:sz="0" w:space="0" w:color="auto"/>
            <w:left w:val="none" w:sz="0" w:space="0" w:color="auto"/>
            <w:bottom w:val="none" w:sz="0" w:space="0" w:color="auto"/>
            <w:right w:val="none" w:sz="0" w:space="0" w:color="auto"/>
          </w:divBdr>
        </w:div>
        <w:div w:id="499975207">
          <w:marLeft w:val="0"/>
          <w:marRight w:val="0"/>
          <w:marTop w:val="0"/>
          <w:marBottom w:val="0"/>
          <w:divBdr>
            <w:top w:val="none" w:sz="0" w:space="0" w:color="auto"/>
            <w:left w:val="none" w:sz="0" w:space="0" w:color="auto"/>
            <w:bottom w:val="none" w:sz="0" w:space="0" w:color="auto"/>
            <w:right w:val="none" w:sz="0" w:space="0" w:color="auto"/>
          </w:divBdr>
        </w:div>
        <w:div w:id="1412003994">
          <w:marLeft w:val="0"/>
          <w:marRight w:val="0"/>
          <w:marTop w:val="0"/>
          <w:marBottom w:val="0"/>
          <w:divBdr>
            <w:top w:val="none" w:sz="0" w:space="0" w:color="auto"/>
            <w:left w:val="none" w:sz="0" w:space="0" w:color="auto"/>
            <w:bottom w:val="none" w:sz="0" w:space="0" w:color="auto"/>
            <w:right w:val="none" w:sz="0" w:space="0" w:color="auto"/>
          </w:divBdr>
        </w:div>
        <w:div w:id="1593273051">
          <w:marLeft w:val="0"/>
          <w:marRight w:val="0"/>
          <w:marTop w:val="0"/>
          <w:marBottom w:val="0"/>
          <w:divBdr>
            <w:top w:val="none" w:sz="0" w:space="0" w:color="auto"/>
            <w:left w:val="none" w:sz="0" w:space="0" w:color="auto"/>
            <w:bottom w:val="none" w:sz="0" w:space="0" w:color="auto"/>
            <w:right w:val="none" w:sz="0" w:space="0" w:color="auto"/>
          </w:divBdr>
        </w:div>
        <w:div w:id="1979799833">
          <w:marLeft w:val="0"/>
          <w:marRight w:val="0"/>
          <w:marTop w:val="0"/>
          <w:marBottom w:val="0"/>
          <w:divBdr>
            <w:top w:val="none" w:sz="0" w:space="0" w:color="auto"/>
            <w:left w:val="none" w:sz="0" w:space="0" w:color="auto"/>
            <w:bottom w:val="none" w:sz="0" w:space="0" w:color="auto"/>
            <w:right w:val="none" w:sz="0" w:space="0" w:color="auto"/>
          </w:divBdr>
        </w:div>
        <w:div w:id="683945338">
          <w:marLeft w:val="0"/>
          <w:marRight w:val="0"/>
          <w:marTop w:val="0"/>
          <w:marBottom w:val="0"/>
          <w:divBdr>
            <w:top w:val="none" w:sz="0" w:space="0" w:color="auto"/>
            <w:left w:val="none" w:sz="0" w:space="0" w:color="auto"/>
            <w:bottom w:val="none" w:sz="0" w:space="0" w:color="auto"/>
            <w:right w:val="none" w:sz="0" w:space="0" w:color="auto"/>
          </w:divBdr>
        </w:div>
      </w:divsChild>
    </w:div>
    <w:div w:id="875234494">
      <w:bodyDiv w:val="1"/>
      <w:marLeft w:val="0"/>
      <w:marRight w:val="0"/>
      <w:marTop w:val="0"/>
      <w:marBottom w:val="0"/>
      <w:divBdr>
        <w:top w:val="none" w:sz="0" w:space="0" w:color="auto"/>
        <w:left w:val="none" w:sz="0" w:space="0" w:color="auto"/>
        <w:bottom w:val="none" w:sz="0" w:space="0" w:color="auto"/>
        <w:right w:val="none" w:sz="0" w:space="0" w:color="auto"/>
      </w:divBdr>
      <w:divsChild>
        <w:div w:id="269705162">
          <w:marLeft w:val="0"/>
          <w:marRight w:val="0"/>
          <w:marTop w:val="0"/>
          <w:marBottom w:val="0"/>
          <w:divBdr>
            <w:top w:val="none" w:sz="0" w:space="0" w:color="auto"/>
            <w:left w:val="none" w:sz="0" w:space="0" w:color="auto"/>
            <w:bottom w:val="none" w:sz="0" w:space="0" w:color="auto"/>
            <w:right w:val="none" w:sz="0" w:space="0" w:color="auto"/>
          </w:divBdr>
        </w:div>
      </w:divsChild>
    </w:div>
    <w:div w:id="911623219">
      <w:bodyDiv w:val="1"/>
      <w:marLeft w:val="0"/>
      <w:marRight w:val="0"/>
      <w:marTop w:val="0"/>
      <w:marBottom w:val="0"/>
      <w:divBdr>
        <w:top w:val="none" w:sz="0" w:space="0" w:color="auto"/>
        <w:left w:val="none" w:sz="0" w:space="0" w:color="auto"/>
        <w:bottom w:val="none" w:sz="0" w:space="0" w:color="auto"/>
        <w:right w:val="none" w:sz="0" w:space="0" w:color="auto"/>
      </w:divBdr>
    </w:div>
    <w:div w:id="927077605">
      <w:bodyDiv w:val="1"/>
      <w:marLeft w:val="0"/>
      <w:marRight w:val="0"/>
      <w:marTop w:val="0"/>
      <w:marBottom w:val="0"/>
      <w:divBdr>
        <w:top w:val="none" w:sz="0" w:space="0" w:color="auto"/>
        <w:left w:val="none" w:sz="0" w:space="0" w:color="auto"/>
        <w:bottom w:val="none" w:sz="0" w:space="0" w:color="auto"/>
        <w:right w:val="none" w:sz="0" w:space="0" w:color="auto"/>
      </w:divBdr>
    </w:div>
    <w:div w:id="1132559544">
      <w:bodyDiv w:val="1"/>
      <w:marLeft w:val="0"/>
      <w:marRight w:val="0"/>
      <w:marTop w:val="0"/>
      <w:marBottom w:val="0"/>
      <w:divBdr>
        <w:top w:val="none" w:sz="0" w:space="0" w:color="auto"/>
        <w:left w:val="none" w:sz="0" w:space="0" w:color="auto"/>
        <w:bottom w:val="none" w:sz="0" w:space="0" w:color="auto"/>
        <w:right w:val="none" w:sz="0" w:space="0" w:color="auto"/>
      </w:divBdr>
    </w:div>
    <w:div w:id="1175076931">
      <w:bodyDiv w:val="1"/>
      <w:marLeft w:val="0"/>
      <w:marRight w:val="0"/>
      <w:marTop w:val="0"/>
      <w:marBottom w:val="0"/>
      <w:divBdr>
        <w:top w:val="none" w:sz="0" w:space="0" w:color="auto"/>
        <w:left w:val="none" w:sz="0" w:space="0" w:color="auto"/>
        <w:bottom w:val="none" w:sz="0" w:space="0" w:color="auto"/>
        <w:right w:val="none" w:sz="0" w:space="0" w:color="auto"/>
      </w:divBdr>
      <w:divsChild>
        <w:div w:id="2081949329">
          <w:marLeft w:val="0"/>
          <w:marRight w:val="0"/>
          <w:marTop w:val="0"/>
          <w:marBottom w:val="0"/>
          <w:divBdr>
            <w:top w:val="none" w:sz="0" w:space="0" w:color="auto"/>
            <w:left w:val="none" w:sz="0" w:space="0" w:color="auto"/>
            <w:bottom w:val="none" w:sz="0" w:space="0" w:color="auto"/>
            <w:right w:val="none" w:sz="0" w:space="0" w:color="auto"/>
          </w:divBdr>
        </w:div>
        <w:div w:id="249657116">
          <w:marLeft w:val="0"/>
          <w:marRight w:val="0"/>
          <w:marTop w:val="0"/>
          <w:marBottom w:val="0"/>
          <w:divBdr>
            <w:top w:val="none" w:sz="0" w:space="0" w:color="auto"/>
            <w:left w:val="none" w:sz="0" w:space="0" w:color="auto"/>
            <w:bottom w:val="none" w:sz="0" w:space="0" w:color="auto"/>
            <w:right w:val="none" w:sz="0" w:space="0" w:color="auto"/>
          </w:divBdr>
        </w:div>
        <w:div w:id="706637248">
          <w:marLeft w:val="0"/>
          <w:marRight w:val="0"/>
          <w:marTop w:val="0"/>
          <w:marBottom w:val="0"/>
          <w:divBdr>
            <w:top w:val="none" w:sz="0" w:space="0" w:color="auto"/>
            <w:left w:val="none" w:sz="0" w:space="0" w:color="auto"/>
            <w:bottom w:val="none" w:sz="0" w:space="0" w:color="auto"/>
            <w:right w:val="none" w:sz="0" w:space="0" w:color="auto"/>
          </w:divBdr>
        </w:div>
        <w:div w:id="538978656">
          <w:marLeft w:val="0"/>
          <w:marRight w:val="0"/>
          <w:marTop w:val="0"/>
          <w:marBottom w:val="0"/>
          <w:divBdr>
            <w:top w:val="none" w:sz="0" w:space="0" w:color="auto"/>
            <w:left w:val="none" w:sz="0" w:space="0" w:color="auto"/>
            <w:bottom w:val="none" w:sz="0" w:space="0" w:color="auto"/>
            <w:right w:val="none" w:sz="0" w:space="0" w:color="auto"/>
          </w:divBdr>
        </w:div>
        <w:div w:id="1338996721">
          <w:marLeft w:val="0"/>
          <w:marRight w:val="0"/>
          <w:marTop w:val="0"/>
          <w:marBottom w:val="0"/>
          <w:divBdr>
            <w:top w:val="none" w:sz="0" w:space="0" w:color="auto"/>
            <w:left w:val="none" w:sz="0" w:space="0" w:color="auto"/>
            <w:bottom w:val="none" w:sz="0" w:space="0" w:color="auto"/>
            <w:right w:val="none" w:sz="0" w:space="0" w:color="auto"/>
          </w:divBdr>
        </w:div>
      </w:divsChild>
    </w:div>
    <w:div w:id="1220482843">
      <w:bodyDiv w:val="1"/>
      <w:marLeft w:val="0"/>
      <w:marRight w:val="0"/>
      <w:marTop w:val="0"/>
      <w:marBottom w:val="0"/>
      <w:divBdr>
        <w:top w:val="none" w:sz="0" w:space="0" w:color="auto"/>
        <w:left w:val="none" w:sz="0" w:space="0" w:color="auto"/>
        <w:bottom w:val="none" w:sz="0" w:space="0" w:color="auto"/>
        <w:right w:val="none" w:sz="0" w:space="0" w:color="auto"/>
      </w:divBdr>
    </w:div>
    <w:div w:id="1628194246">
      <w:bodyDiv w:val="1"/>
      <w:marLeft w:val="0"/>
      <w:marRight w:val="0"/>
      <w:marTop w:val="0"/>
      <w:marBottom w:val="0"/>
      <w:divBdr>
        <w:top w:val="none" w:sz="0" w:space="0" w:color="auto"/>
        <w:left w:val="none" w:sz="0" w:space="0" w:color="auto"/>
        <w:bottom w:val="none" w:sz="0" w:space="0" w:color="auto"/>
        <w:right w:val="none" w:sz="0" w:space="0" w:color="auto"/>
      </w:divBdr>
    </w:div>
    <w:div w:id="1649359035">
      <w:bodyDiv w:val="1"/>
      <w:marLeft w:val="0"/>
      <w:marRight w:val="0"/>
      <w:marTop w:val="0"/>
      <w:marBottom w:val="0"/>
      <w:divBdr>
        <w:top w:val="none" w:sz="0" w:space="0" w:color="auto"/>
        <w:left w:val="none" w:sz="0" w:space="0" w:color="auto"/>
        <w:bottom w:val="none" w:sz="0" w:space="0" w:color="auto"/>
        <w:right w:val="none" w:sz="0" w:space="0" w:color="auto"/>
      </w:divBdr>
    </w:div>
    <w:div w:id="1725249485">
      <w:bodyDiv w:val="1"/>
      <w:marLeft w:val="0"/>
      <w:marRight w:val="0"/>
      <w:marTop w:val="0"/>
      <w:marBottom w:val="0"/>
      <w:divBdr>
        <w:top w:val="none" w:sz="0" w:space="0" w:color="auto"/>
        <w:left w:val="none" w:sz="0" w:space="0" w:color="auto"/>
        <w:bottom w:val="none" w:sz="0" w:space="0" w:color="auto"/>
        <w:right w:val="none" w:sz="0" w:space="0" w:color="auto"/>
      </w:divBdr>
    </w:div>
    <w:div w:id="19074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88fe0205-a2ac-4895-ba2e-a260b7a7b33d.usrfiles.com/ugd/88fe02_d1ead08db89d4b259552ec545415b1d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lex.europa.eu/resource.html?uri=cellar:e0649735-a372-11eb-9585-01aa75ed71a1.0001.02/DOC_2&amp;forma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onsilium.europa.eu/doc/document/ST-8115-2021-INIT/en/pdf" TargetMode="External"/><Relationship Id="rId5" Type="http://schemas.openxmlformats.org/officeDocument/2006/relationships/numbering" Target="numbering.xml"/><Relationship Id="rId15" Type="http://schemas.openxmlformats.org/officeDocument/2006/relationships/hyperlink" Target="https://easa-alliance.us2.list-manage.com/track/click?u=cb8fee4e8a9cd3fc5cd878638&amp;id=dfbc6de4ff&amp;e=d6df126be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consilium.europa.eu/doc/document/ST-14954-2022-INIT/en/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D40DE48E6684AA2BE8139A0CEA4BA" ma:contentTypeVersion="16" ma:contentTypeDescription="Create a new document." ma:contentTypeScope="" ma:versionID="24b37907526676144d53e3fa7b7d5ce4">
  <xsd:schema xmlns:xsd="http://www.w3.org/2001/XMLSchema" xmlns:xs="http://www.w3.org/2001/XMLSchema" xmlns:p="http://schemas.microsoft.com/office/2006/metadata/properties" xmlns:ns2="bc3babbc-8209-45b2-9e41-f6fc0821af86" xmlns:ns3="0679e3e0-cc52-45ad-b69c-e28d73a01968" targetNamespace="http://schemas.microsoft.com/office/2006/metadata/properties" ma:root="true" ma:fieldsID="9c8d6229e672bbaa11320c85a9aee5ea" ns2:_="" ns3:_="">
    <xsd:import namespace="bc3babbc-8209-45b2-9e41-f6fc0821af86"/>
    <xsd:import namespace="0679e3e0-cc52-45ad-b69c-e28d73a01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abbc-8209-45b2-9e41-f6fc0821a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41acef-a5c4-4997-bb22-b86305cac5b2}" ma:internalName="TaxCatchAll" ma:showField="CatchAllData" ma:web="bc3babbc-8209-45b2-9e41-f6fc0821a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9e3e0-cc52-45ad-b69c-e28d73a01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6af4c-d03d-45c8-b7c8-9953c9f09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3babbc-8209-45b2-9e41-f6fc0821af86" xsi:nil="true"/>
    <lcf76f155ced4ddcb4097134ff3c332f xmlns="0679e3e0-cc52-45ad-b69c-e28d73a019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B24E9-9B42-4879-9991-18A5740F0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abbc-8209-45b2-9e41-f6fc0821af86"/>
    <ds:schemaRef ds:uri="0679e3e0-cc52-45ad-b69c-e28d73a0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8587-1BC4-4B26-B312-5E66AA259F59}">
  <ds:schemaRefs>
    <ds:schemaRef ds:uri="http://schemas.microsoft.com/office/2006/metadata/properties"/>
    <ds:schemaRef ds:uri="http://schemas.microsoft.com/office/infopath/2007/PartnerControls"/>
    <ds:schemaRef ds:uri="bc3babbc-8209-45b2-9e41-f6fc0821af86"/>
    <ds:schemaRef ds:uri="0679e3e0-cc52-45ad-b69c-e28d73a01968"/>
  </ds:schemaRefs>
</ds:datastoreItem>
</file>

<file path=customXml/itemProps3.xml><?xml version="1.0" encoding="utf-8"?>
<ds:datastoreItem xmlns:ds="http://schemas.openxmlformats.org/officeDocument/2006/customXml" ds:itemID="{E4C2602F-2DEE-4161-9964-2E939A0AAB88}">
  <ds:schemaRefs>
    <ds:schemaRef ds:uri="http://schemas.openxmlformats.org/officeDocument/2006/bibliography"/>
  </ds:schemaRefs>
</ds:datastoreItem>
</file>

<file path=customXml/itemProps4.xml><?xml version="1.0" encoding="utf-8"?>
<ds:datastoreItem xmlns:ds="http://schemas.openxmlformats.org/officeDocument/2006/customXml" ds:itemID="{16714A53-D944-45F0-ACB9-C8ED00A59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4205</Words>
  <Characters>23974</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Fernandez</dc:creator>
  <cp:lastModifiedBy>Enrico Girotto</cp:lastModifiedBy>
  <cp:revision>67</cp:revision>
  <cp:lastPrinted>2021-07-13T12:52:00Z</cp:lastPrinted>
  <dcterms:created xsi:type="dcterms:W3CDTF">2022-03-24T11:52:00Z</dcterms:created>
  <dcterms:modified xsi:type="dcterms:W3CDTF">2023-07-04T15:14:00Z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0x010100BDCD40DE48E6684AA2BE8139A0CEA4BA</vt:lpwstr>
  </property>
  <property fmtid="{D5CDD505-2E9C-101B-9397-08002B2CF9AE}" pid="3" name="MediaServiceImageTags">
    <vt:lpwstr/>
  </property>
</Properties>
</file>